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96" w:rsidRPr="002B3F75" w:rsidRDefault="00680296" w:rsidP="00680296">
      <w:pPr>
        <w:jc w:val="right"/>
        <w:rPr>
          <w:b/>
          <w:sz w:val="22"/>
          <w:szCs w:val="22"/>
        </w:rPr>
      </w:pPr>
      <w:r w:rsidRPr="002B3F75">
        <w:rPr>
          <w:b/>
          <w:sz w:val="22"/>
          <w:szCs w:val="22"/>
        </w:rPr>
        <w:t>Додаток №1</w:t>
      </w:r>
    </w:p>
    <w:p w:rsidR="00680296" w:rsidRPr="002B3F75" w:rsidRDefault="00680296" w:rsidP="00680296">
      <w:pPr>
        <w:jc w:val="right"/>
        <w:rPr>
          <w:b/>
          <w:sz w:val="22"/>
          <w:szCs w:val="22"/>
        </w:rPr>
      </w:pPr>
      <w:r w:rsidRPr="002B3F75">
        <w:rPr>
          <w:b/>
          <w:sz w:val="22"/>
          <w:szCs w:val="22"/>
        </w:rPr>
        <w:t>до протоколу №</w:t>
      </w:r>
      <w:r w:rsidR="004F1DAA" w:rsidRPr="002B3F75">
        <w:rPr>
          <w:b/>
          <w:sz w:val="22"/>
          <w:szCs w:val="22"/>
        </w:rPr>
        <w:t xml:space="preserve"> </w:t>
      </w:r>
      <w:r w:rsidR="009564F9" w:rsidRPr="009564F9">
        <w:t>47</w:t>
      </w:r>
      <w:r w:rsidRPr="009564F9">
        <w:t xml:space="preserve"> </w:t>
      </w:r>
      <w:r w:rsidRPr="002B3F75">
        <w:rPr>
          <w:b/>
          <w:sz w:val="22"/>
          <w:szCs w:val="22"/>
        </w:rPr>
        <w:t>від «</w:t>
      </w:r>
      <w:r w:rsidR="001434F6" w:rsidRPr="002B3F75">
        <w:rPr>
          <w:b/>
          <w:sz w:val="22"/>
          <w:szCs w:val="22"/>
        </w:rPr>
        <w:t>28</w:t>
      </w:r>
      <w:r w:rsidRPr="002B3F75">
        <w:rPr>
          <w:b/>
          <w:sz w:val="22"/>
          <w:szCs w:val="22"/>
        </w:rPr>
        <w:t>»</w:t>
      </w:r>
      <w:r w:rsidR="004F1DAA" w:rsidRPr="002B3F75">
        <w:rPr>
          <w:b/>
          <w:sz w:val="22"/>
          <w:szCs w:val="22"/>
        </w:rPr>
        <w:t xml:space="preserve"> </w:t>
      </w:r>
      <w:r w:rsidR="004A34D8" w:rsidRPr="002B3F75">
        <w:rPr>
          <w:b/>
          <w:sz w:val="22"/>
          <w:szCs w:val="22"/>
        </w:rPr>
        <w:t>березня</w:t>
      </w:r>
      <w:r w:rsidRPr="002B3F75">
        <w:rPr>
          <w:b/>
          <w:sz w:val="22"/>
          <w:szCs w:val="22"/>
        </w:rPr>
        <w:t xml:space="preserve"> 202</w:t>
      </w:r>
      <w:r w:rsidR="00F10607" w:rsidRPr="002B3F75">
        <w:rPr>
          <w:b/>
          <w:sz w:val="22"/>
          <w:szCs w:val="22"/>
        </w:rPr>
        <w:t xml:space="preserve">4 </w:t>
      </w:r>
      <w:r w:rsidRPr="002B3F75">
        <w:rPr>
          <w:b/>
          <w:sz w:val="22"/>
          <w:szCs w:val="22"/>
        </w:rPr>
        <w:t>р.</w:t>
      </w:r>
    </w:p>
    <w:p w:rsidR="008D3271" w:rsidRPr="002B3F75" w:rsidRDefault="008D3271" w:rsidP="008D3271">
      <w:pPr>
        <w:jc w:val="center"/>
        <w:rPr>
          <w:b/>
        </w:rPr>
      </w:pPr>
      <w:r w:rsidRPr="002B3F75">
        <w:rPr>
          <w:b/>
        </w:rPr>
        <w:t>Зміни внесені до тендерної документації</w:t>
      </w:r>
    </w:p>
    <w:p w:rsidR="007E603A" w:rsidRPr="002B3F75" w:rsidRDefault="008D3271" w:rsidP="001C416F">
      <w:pPr>
        <w:ind w:right="-1"/>
        <w:jc w:val="center"/>
        <w:rPr>
          <w:b/>
          <w:bCs/>
        </w:rPr>
      </w:pPr>
      <w:r w:rsidRPr="002B3F75">
        <w:rPr>
          <w:b/>
        </w:rPr>
        <w:t xml:space="preserve">щодо закупівлі </w:t>
      </w:r>
      <w:r w:rsidR="00882FC7" w:rsidRPr="002B3F75">
        <w:rPr>
          <w:b/>
        </w:rPr>
        <w:t>товару</w:t>
      </w:r>
      <w:r w:rsidR="001C416F" w:rsidRPr="002B3F75">
        <w:rPr>
          <w:b/>
        </w:rPr>
        <w:t xml:space="preserve"> </w:t>
      </w:r>
      <w:r w:rsidR="001434F6" w:rsidRPr="002B3F75">
        <w:rPr>
          <w:b/>
          <w:bCs/>
        </w:rPr>
        <w:t>Напівбрикет торф'яний, торф паливний фрезерний, вугілля кам’яне марки Г (Г1/Г2) (13-100) (код ДК 021:2015: 09110000-3: Тверде паливо)</w:t>
      </w:r>
    </w:p>
    <w:p w:rsidR="00E4698E" w:rsidRPr="002B3F75"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7038"/>
        <w:gridCol w:w="6946"/>
      </w:tblGrid>
      <w:tr w:rsidR="00680296" w:rsidRPr="002B3F75" w:rsidTr="001C416F">
        <w:trPr>
          <w:trHeight w:val="480"/>
        </w:trPr>
        <w:tc>
          <w:tcPr>
            <w:tcW w:w="993" w:type="dxa"/>
            <w:vAlign w:val="center"/>
          </w:tcPr>
          <w:p w:rsidR="00680296" w:rsidRPr="002B3F75" w:rsidRDefault="00680296" w:rsidP="0051042C">
            <w:pPr>
              <w:jc w:val="center"/>
              <w:rPr>
                <w:b/>
                <w:color w:val="000000"/>
                <w:sz w:val="22"/>
                <w:szCs w:val="22"/>
              </w:rPr>
            </w:pPr>
            <w:r w:rsidRPr="002B3F75">
              <w:rPr>
                <w:b/>
                <w:color w:val="000000"/>
                <w:sz w:val="22"/>
                <w:szCs w:val="22"/>
              </w:rPr>
              <w:t>№</w:t>
            </w:r>
          </w:p>
          <w:p w:rsidR="00680296" w:rsidRPr="002B3F75" w:rsidRDefault="00680296" w:rsidP="0051042C">
            <w:pPr>
              <w:jc w:val="center"/>
              <w:rPr>
                <w:b/>
                <w:color w:val="000000"/>
                <w:sz w:val="22"/>
                <w:szCs w:val="22"/>
              </w:rPr>
            </w:pPr>
            <w:r w:rsidRPr="002B3F75">
              <w:rPr>
                <w:b/>
                <w:color w:val="000000"/>
                <w:sz w:val="22"/>
                <w:szCs w:val="22"/>
              </w:rPr>
              <w:t>з/п</w:t>
            </w:r>
          </w:p>
        </w:tc>
        <w:tc>
          <w:tcPr>
            <w:tcW w:w="1325" w:type="dxa"/>
            <w:vAlign w:val="center"/>
          </w:tcPr>
          <w:p w:rsidR="00680296" w:rsidRPr="002B3F75" w:rsidRDefault="00680296" w:rsidP="0051042C">
            <w:pPr>
              <w:jc w:val="center"/>
              <w:rPr>
                <w:b/>
                <w:color w:val="000000"/>
                <w:sz w:val="22"/>
                <w:szCs w:val="22"/>
              </w:rPr>
            </w:pPr>
            <w:r w:rsidRPr="002B3F75">
              <w:rPr>
                <w:b/>
                <w:color w:val="000000"/>
                <w:sz w:val="22"/>
                <w:szCs w:val="22"/>
              </w:rPr>
              <w:t>Пункт ТД</w:t>
            </w:r>
          </w:p>
        </w:tc>
        <w:tc>
          <w:tcPr>
            <w:tcW w:w="7038" w:type="dxa"/>
            <w:vAlign w:val="center"/>
          </w:tcPr>
          <w:p w:rsidR="00680296" w:rsidRPr="002B3F75" w:rsidRDefault="00680296" w:rsidP="0051042C">
            <w:pPr>
              <w:jc w:val="center"/>
              <w:rPr>
                <w:b/>
                <w:color w:val="000000"/>
                <w:sz w:val="22"/>
                <w:szCs w:val="22"/>
              </w:rPr>
            </w:pPr>
            <w:r w:rsidRPr="002B3F75">
              <w:rPr>
                <w:b/>
                <w:color w:val="000000"/>
                <w:sz w:val="22"/>
                <w:szCs w:val="22"/>
              </w:rPr>
              <w:t xml:space="preserve">редакція від </w:t>
            </w:r>
            <w:r w:rsidR="001434F6" w:rsidRPr="002B3F75">
              <w:rPr>
                <w:b/>
                <w:color w:val="000000"/>
                <w:sz w:val="22"/>
                <w:szCs w:val="22"/>
              </w:rPr>
              <w:t>08</w:t>
            </w:r>
            <w:r w:rsidRPr="002B3F75">
              <w:rPr>
                <w:b/>
                <w:color w:val="000000"/>
                <w:sz w:val="22"/>
                <w:szCs w:val="22"/>
              </w:rPr>
              <w:t>.</w:t>
            </w:r>
            <w:r w:rsidR="007847A2" w:rsidRPr="002B3F75">
              <w:rPr>
                <w:b/>
                <w:color w:val="000000"/>
                <w:sz w:val="22"/>
                <w:szCs w:val="22"/>
              </w:rPr>
              <w:t>03</w:t>
            </w:r>
            <w:r w:rsidRPr="002B3F75">
              <w:rPr>
                <w:b/>
                <w:color w:val="000000"/>
                <w:sz w:val="22"/>
                <w:szCs w:val="22"/>
              </w:rPr>
              <w:t>.202</w:t>
            </w:r>
            <w:r w:rsidR="00F10607" w:rsidRPr="002B3F75">
              <w:rPr>
                <w:b/>
                <w:color w:val="000000"/>
                <w:sz w:val="22"/>
                <w:szCs w:val="22"/>
              </w:rPr>
              <w:t>4</w:t>
            </w:r>
          </w:p>
        </w:tc>
        <w:tc>
          <w:tcPr>
            <w:tcW w:w="6946" w:type="dxa"/>
            <w:vAlign w:val="center"/>
          </w:tcPr>
          <w:p w:rsidR="00680296" w:rsidRPr="002B3F75" w:rsidRDefault="00680296" w:rsidP="0051042C">
            <w:pPr>
              <w:jc w:val="center"/>
              <w:rPr>
                <w:b/>
                <w:color w:val="000000"/>
                <w:sz w:val="22"/>
                <w:szCs w:val="22"/>
              </w:rPr>
            </w:pPr>
            <w:r w:rsidRPr="002B3F75">
              <w:rPr>
                <w:b/>
                <w:color w:val="000000"/>
                <w:sz w:val="22"/>
                <w:szCs w:val="22"/>
              </w:rPr>
              <w:t>Зміни від</w:t>
            </w:r>
            <w:r w:rsidR="001C416F" w:rsidRPr="002B3F75">
              <w:rPr>
                <w:b/>
                <w:color w:val="000000"/>
                <w:sz w:val="22"/>
                <w:szCs w:val="22"/>
              </w:rPr>
              <w:t xml:space="preserve"> </w:t>
            </w:r>
            <w:r w:rsidR="001434F6" w:rsidRPr="002B3F75">
              <w:rPr>
                <w:b/>
                <w:color w:val="000000"/>
                <w:sz w:val="22"/>
                <w:szCs w:val="22"/>
              </w:rPr>
              <w:t>28</w:t>
            </w:r>
            <w:r w:rsidRPr="002B3F75">
              <w:rPr>
                <w:b/>
                <w:color w:val="000000"/>
                <w:sz w:val="22"/>
                <w:szCs w:val="22"/>
              </w:rPr>
              <w:t>.</w:t>
            </w:r>
            <w:r w:rsidR="007847A2" w:rsidRPr="002B3F75">
              <w:rPr>
                <w:b/>
                <w:color w:val="000000"/>
                <w:sz w:val="22"/>
                <w:szCs w:val="22"/>
              </w:rPr>
              <w:t>03</w:t>
            </w:r>
            <w:r w:rsidRPr="002B3F75">
              <w:rPr>
                <w:b/>
                <w:color w:val="000000"/>
                <w:sz w:val="22"/>
                <w:szCs w:val="22"/>
              </w:rPr>
              <w:t>.202</w:t>
            </w:r>
            <w:r w:rsidR="00F10607" w:rsidRPr="002B3F75">
              <w:rPr>
                <w:b/>
                <w:color w:val="000000"/>
                <w:sz w:val="22"/>
                <w:szCs w:val="22"/>
              </w:rPr>
              <w:t>4</w:t>
            </w:r>
          </w:p>
        </w:tc>
      </w:tr>
      <w:tr w:rsidR="00680296" w:rsidRPr="002B3F75" w:rsidTr="00224540">
        <w:trPr>
          <w:trHeight w:val="96"/>
        </w:trPr>
        <w:tc>
          <w:tcPr>
            <w:tcW w:w="993" w:type="dxa"/>
            <w:vAlign w:val="center"/>
          </w:tcPr>
          <w:p w:rsidR="00680296" w:rsidRPr="002B3F75" w:rsidRDefault="007E603A" w:rsidP="007E603A">
            <w:pPr>
              <w:jc w:val="center"/>
              <w:rPr>
                <w:b/>
                <w:color w:val="000000"/>
                <w:sz w:val="22"/>
                <w:szCs w:val="22"/>
              </w:rPr>
            </w:pPr>
            <w:r w:rsidRPr="002B3F75">
              <w:rPr>
                <w:b/>
                <w:color w:val="000000"/>
                <w:sz w:val="22"/>
                <w:szCs w:val="22"/>
              </w:rPr>
              <w:t>1</w:t>
            </w:r>
          </w:p>
        </w:tc>
        <w:tc>
          <w:tcPr>
            <w:tcW w:w="1325" w:type="dxa"/>
            <w:vAlign w:val="center"/>
          </w:tcPr>
          <w:p w:rsidR="00680296" w:rsidRPr="002B3F75" w:rsidRDefault="00680296" w:rsidP="007E603A">
            <w:pPr>
              <w:jc w:val="center"/>
              <w:rPr>
                <w:b/>
                <w:color w:val="000000"/>
                <w:sz w:val="22"/>
                <w:szCs w:val="22"/>
              </w:rPr>
            </w:pPr>
            <w:r w:rsidRPr="002B3F75">
              <w:rPr>
                <w:b/>
                <w:color w:val="000000"/>
                <w:sz w:val="22"/>
                <w:szCs w:val="22"/>
              </w:rPr>
              <w:t>Титульна сторінка</w:t>
            </w:r>
          </w:p>
        </w:tc>
        <w:tc>
          <w:tcPr>
            <w:tcW w:w="7038" w:type="dxa"/>
            <w:vAlign w:val="center"/>
          </w:tcPr>
          <w:p w:rsidR="004A34D8" w:rsidRPr="002B3F75" w:rsidRDefault="004A34D8" w:rsidP="004A34D8">
            <w:r w:rsidRPr="002B3F75">
              <w:rPr>
                <w:b/>
                <w:bCs/>
                <w:iCs/>
              </w:rPr>
              <w:t>ЗАТВЕРДЖЕНО</w:t>
            </w:r>
          </w:p>
          <w:p w:rsidR="001434F6" w:rsidRPr="002B3F75" w:rsidRDefault="001434F6" w:rsidP="001434F6">
            <w:pPr>
              <w:rPr>
                <w:bCs/>
                <w:iCs/>
              </w:rPr>
            </w:pPr>
            <w:r w:rsidRPr="002B3F75">
              <w:rPr>
                <w:bCs/>
                <w:iCs/>
              </w:rPr>
              <w:t>Протокол № 44</w:t>
            </w:r>
          </w:p>
          <w:p w:rsidR="001434F6" w:rsidRPr="002B3F75" w:rsidRDefault="001434F6" w:rsidP="001434F6">
            <w:pPr>
              <w:rPr>
                <w:bCs/>
                <w:iCs/>
              </w:rPr>
            </w:pPr>
            <w:r w:rsidRPr="002B3F75">
              <w:rPr>
                <w:bCs/>
                <w:iCs/>
              </w:rPr>
              <w:t>від «08» березня 2024 року</w:t>
            </w:r>
          </w:p>
          <w:p w:rsidR="001434F6" w:rsidRPr="002B3F75" w:rsidRDefault="001434F6" w:rsidP="001434F6">
            <w:pPr>
              <w:rPr>
                <w:bCs/>
                <w:iCs/>
              </w:rPr>
            </w:pPr>
            <w:r w:rsidRPr="002B3F75">
              <w:rPr>
                <w:bCs/>
                <w:iCs/>
              </w:rPr>
              <w:t xml:space="preserve">Уповноважена особа </w:t>
            </w:r>
          </w:p>
          <w:p w:rsidR="00224540" w:rsidRPr="002B3F75" w:rsidRDefault="001434F6" w:rsidP="001434F6">
            <w:pPr>
              <w:rPr>
                <w:bCs/>
                <w:iCs/>
              </w:rPr>
            </w:pPr>
            <w:r w:rsidRPr="002B3F75">
              <w:rPr>
                <w:bCs/>
                <w:iCs/>
              </w:rPr>
              <w:t>Світлана Франкова</w:t>
            </w:r>
          </w:p>
        </w:tc>
        <w:tc>
          <w:tcPr>
            <w:tcW w:w="6946" w:type="dxa"/>
            <w:vAlign w:val="center"/>
          </w:tcPr>
          <w:p w:rsidR="001434F6" w:rsidRPr="002B3F75" w:rsidRDefault="001434F6" w:rsidP="001434F6">
            <w:r w:rsidRPr="002B3F75">
              <w:rPr>
                <w:b/>
                <w:bCs/>
                <w:iCs/>
              </w:rPr>
              <w:t>ЗАТВЕРДЖЕНО</w:t>
            </w:r>
          </w:p>
          <w:p w:rsidR="001434F6" w:rsidRPr="002B3F75" w:rsidRDefault="001434F6" w:rsidP="001434F6">
            <w:pPr>
              <w:rPr>
                <w:bCs/>
                <w:iCs/>
              </w:rPr>
            </w:pPr>
            <w:r w:rsidRPr="002B3F75">
              <w:rPr>
                <w:bCs/>
                <w:iCs/>
              </w:rPr>
              <w:t xml:space="preserve">Протокол № </w:t>
            </w:r>
            <w:r w:rsidR="009564F9">
              <w:rPr>
                <w:bCs/>
                <w:iCs/>
              </w:rPr>
              <w:t>47</w:t>
            </w:r>
          </w:p>
          <w:p w:rsidR="001434F6" w:rsidRPr="002B3F75" w:rsidRDefault="001434F6" w:rsidP="001434F6">
            <w:pPr>
              <w:rPr>
                <w:bCs/>
                <w:iCs/>
              </w:rPr>
            </w:pPr>
            <w:r w:rsidRPr="002B3F75">
              <w:rPr>
                <w:bCs/>
                <w:iCs/>
              </w:rPr>
              <w:t>від «28» березня 2024 року</w:t>
            </w:r>
          </w:p>
          <w:p w:rsidR="001434F6" w:rsidRPr="002B3F75" w:rsidRDefault="001434F6" w:rsidP="001434F6">
            <w:pPr>
              <w:rPr>
                <w:bCs/>
                <w:iCs/>
              </w:rPr>
            </w:pPr>
            <w:r w:rsidRPr="002B3F75">
              <w:rPr>
                <w:bCs/>
                <w:iCs/>
              </w:rPr>
              <w:t xml:space="preserve">Уповноважена особа </w:t>
            </w:r>
          </w:p>
          <w:p w:rsidR="00680296" w:rsidRPr="002B3F75" w:rsidRDefault="001434F6" w:rsidP="001434F6">
            <w:pPr>
              <w:rPr>
                <w:bCs/>
                <w:iCs/>
              </w:rPr>
            </w:pPr>
            <w:r w:rsidRPr="002B3F75">
              <w:rPr>
                <w:bCs/>
                <w:iCs/>
              </w:rPr>
              <w:t>Світлана Франкова</w:t>
            </w:r>
          </w:p>
        </w:tc>
      </w:tr>
      <w:tr w:rsidR="00F10607" w:rsidRPr="002B3F75" w:rsidTr="00DB69F5">
        <w:trPr>
          <w:trHeight w:val="85"/>
        </w:trPr>
        <w:tc>
          <w:tcPr>
            <w:tcW w:w="993" w:type="dxa"/>
            <w:vAlign w:val="center"/>
          </w:tcPr>
          <w:p w:rsidR="00F10607" w:rsidRPr="002B3F75" w:rsidRDefault="004A34D8" w:rsidP="00F10607">
            <w:pPr>
              <w:jc w:val="center"/>
              <w:rPr>
                <w:b/>
                <w:color w:val="000000"/>
                <w:sz w:val="22"/>
                <w:szCs w:val="22"/>
              </w:rPr>
            </w:pPr>
            <w:r w:rsidRPr="002B3F75">
              <w:rPr>
                <w:b/>
                <w:color w:val="000000"/>
                <w:sz w:val="22"/>
                <w:szCs w:val="22"/>
              </w:rPr>
              <w:t>2</w:t>
            </w:r>
          </w:p>
        </w:tc>
        <w:tc>
          <w:tcPr>
            <w:tcW w:w="1325" w:type="dxa"/>
            <w:vAlign w:val="center"/>
          </w:tcPr>
          <w:p w:rsidR="00F10607" w:rsidRPr="002B3F75" w:rsidRDefault="007847A2" w:rsidP="00F10607">
            <w:pPr>
              <w:jc w:val="center"/>
              <w:rPr>
                <w:b/>
                <w:color w:val="000000"/>
                <w:sz w:val="22"/>
                <w:szCs w:val="22"/>
              </w:rPr>
            </w:pPr>
            <w:r w:rsidRPr="002B3F75">
              <w:rPr>
                <w:b/>
                <w:color w:val="000000"/>
                <w:sz w:val="22"/>
                <w:szCs w:val="22"/>
              </w:rPr>
              <w:t xml:space="preserve">П.п. </w:t>
            </w:r>
            <w:r w:rsidR="002B3F75" w:rsidRPr="002B3F75">
              <w:rPr>
                <w:b/>
                <w:color w:val="000000"/>
                <w:sz w:val="22"/>
                <w:szCs w:val="22"/>
              </w:rPr>
              <w:t>3.5.2.</w:t>
            </w:r>
            <w:r w:rsidRPr="002B3F75">
              <w:rPr>
                <w:b/>
                <w:color w:val="000000"/>
                <w:sz w:val="22"/>
                <w:szCs w:val="22"/>
              </w:rPr>
              <w:t xml:space="preserve"> п. </w:t>
            </w:r>
            <w:r w:rsidR="002B3F75" w:rsidRPr="002B3F75">
              <w:rPr>
                <w:b/>
                <w:color w:val="000000"/>
                <w:sz w:val="22"/>
                <w:szCs w:val="22"/>
              </w:rPr>
              <w:t>5</w:t>
            </w:r>
            <w:r w:rsidRPr="002B3F75">
              <w:rPr>
                <w:b/>
                <w:color w:val="000000"/>
                <w:sz w:val="22"/>
                <w:szCs w:val="22"/>
              </w:rPr>
              <w:t xml:space="preserve"> розділу І</w:t>
            </w:r>
            <w:r w:rsidR="002B3F75" w:rsidRPr="002B3F75">
              <w:rPr>
                <w:b/>
                <w:color w:val="000000"/>
                <w:sz w:val="22"/>
                <w:szCs w:val="22"/>
              </w:rPr>
              <w:t>І</w:t>
            </w:r>
            <w:r w:rsidRPr="002B3F75">
              <w:rPr>
                <w:b/>
                <w:color w:val="000000"/>
                <w:sz w:val="22"/>
                <w:szCs w:val="22"/>
              </w:rPr>
              <w:t>І ТД</w:t>
            </w:r>
          </w:p>
        </w:tc>
        <w:tc>
          <w:tcPr>
            <w:tcW w:w="7038" w:type="dxa"/>
            <w:vAlign w:val="center"/>
          </w:tcPr>
          <w:p w:rsidR="002B3F75" w:rsidRPr="002B3F75" w:rsidRDefault="002B3F75" w:rsidP="002B3F75">
            <w:pPr>
              <w:pStyle w:val="210"/>
              <w:shd w:val="clear" w:color="auto" w:fill="FFFFFF"/>
              <w:spacing w:after="0" w:line="240" w:lineRule="auto"/>
              <w:ind w:left="0" w:right="100"/>
              <w:contextualSpacing/>
              <w:jc w:val="both"/>
              <w:rPr>
                <w:rFonts w:ascii="Times New Roman" w:hAnsi="Times New Roman"/>
                <w:color w:val="000000"/>
                <w:sz w:val="24"/>
                <w:szCs w:val="24"/>
                <w:lang w:val="uk-UA"/>
              </w:rPr>
            </w:pPr>
            <w:r w:rsidRPr="002B3F75">
              <w:rPr>
                <w:rFonts w:ascii="Times New Roman" w:hAnsi="Times New Roman"/>
                <w:sz w:val="24"/>
                <w:szCs w:val="24"/>
                <w:lang w:val="uk-UA"/>
              </w:rPr>
              <w:t xml:space="preserve">3.5.2. </w:t>
            </w:r>
            <w:r w:rsidRPr="002B3F75">
              <w:rPr>
                <w:rFonts w:ascii="Times New Roman" w:hAnsi="Times New Roman"/>
                <w:color w:val="000000"/>
                <w:sz w:val="24"/>
                <w:szCs w:val="24"/>
                <w:lang w:val="uk-UA"/>
              </w:rPr>
              <w:t>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6553" w:type="dxa"/>
              <w:tblLayout w:type="fixed"/>
              <w:tblLook w:val="0000" w:firstRow="0" w:lastRow="0" w:firstColumn="0" w:lastColumn="0" w:noHBand="0" w:noVBand="0"/>
            </w:tblPr>
            <w:tblGrid>
              <w:gridCol w:w="1966"/>
              <w:gridCol w:w="4587"/>
            </w:tblGrid>
            <w:tr w:rsidR="002B3F75" w:rsidRPr="002B3F75" w:rsidTr="002B3F75">
              <w:trPr>
                <w:trHeight w:val="125"/>
              </w:trPr>
              <w:tc>
                <w:tcPr>
                  <w:tcW w:w="1966" w:type="dxa"/>
                  <w:tcBorders>
                    <w:top w:val="single" w:sz="4" w:space="0" w:color="000000"/>
                    <w:left w:val="single" w:sz="4" w:space="0" w:color="000000"/>
                    <w:bottom w:val="single" w:sz="4" w:space="0" w:color="000000"/>
                  </w:tcBorders>
                  <w:shd w:val="clear" w:color="auto" w:fill="auto"/>
                </w:tcPr>
                <w:p w:rsidR="002B3F75" w:rsidRPr="002B3F75" w:rsidRDefault="002B3F75" w:rsidP="002B3F75">
                  <w:pPr>
                    <w:pStyle w:val="22"/>
                    <w:shd w:val="clear" w:color="auto" w:fill="FFFFFF"/>
                    <w:spacing w:after="0" w:line="240" w:lineRule="auto"/>
                    <w:ind w:left="0"/>
                    <w:contextualSpacing/>
                    <w:rPr>
                      <w:rFonts w:ascii="Times New Roman" w:hAnsi="Times New Roman" w:cs="Times New Roman"/>
                      <w:color w:val="000000"/>
                      <w:sz w:val="24"/>
                      <w:szCs w:val="24"/>
                      <w:lang w:val="uk-UA"/>
                    </w:rPr>
                  </w:pPr>
                  <w:r w:rsidRPr="002B3F75">
                    <w:rPr>
                      <w:rFonts w:ascii="Times New Roman" w:hAnsi="Times New Roman" w:cs="Times New Roman"/>
                      <w:b/>
                      <w:i/>
                      <w:color w:val="000000"/>
                      <w:sz w:val="24"/>
                      <w:szCs w:val="24"/>
                      <w:lang w:val="uk-UA"/>
                    </w:rPr>
                    <w:t>Кваліфікаційний критерій</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2B3F75" w:rsidRPr="002B3F75" w:rsidRDefault="002B3F75" w:rsidP="002B3F75">
                  <w:pPr>
                    <w:pStyle w:val="22"/>
                    <w:shd w:val="clear" w:color="auto" w:fill="FFFFFF"/>
                    <w:spacing w:after="0" w:line="240" w:lineRule="auto"/>
                    <w:ind w:left="0"/>
                    <w:contextualSpacing/>
                    <w:jc w:val="center"/>
                    <w:rPr>
                      <w:rFonts w:ascii="Times New Roman" w:hAnsi="Times New Roman" w:cs="Times New Roman"/>
                      <w:color w:val="000000"/>
                      <w:sz w:val="24"/>
                      <w:szCs w:val="24"/>
                      <w:lang w:val="uk-UA"/>
                    </w:rPr>
                  </w:pPr>
                  <w:r w:rsidRPr="002B3F75">
                    <w:rPr>
                      <w:rFonts w:ascii="Times New Roman" w:hAnsi="Times New Roman" w:cs="Times New Roman"/>
                      <w:b/>
                      <w:i/>
                      <w:color w:val="000000"/>
                      <w:sz w:val="24"/>
                      <w:szCs w:val="24"/>
                      <w:lang w:val="uk-UA"/>
                    </w:rPr>
                    <w:t>Документальне підтвердження</w:t>
                  </w:r>
                </w:p>
              </w:tc>
            </w:tr>
            <w:tr w:rsidR="002B3F75" w:rsidRPr="002B3F75" w:rsidTr="002B3F75">
              <w:trPr>
                <w:trHeight w:val="1708"/>
              </w:trPr>
              <w:tc>
                <w:tcPr>
                  <w:tcW w:w="1966" w:type="dxa"/>
                  <w:tcBorders>
                    <w:top w:val="single" w:sz="4" w:space="0" w:color="000000"/>
                    <w:left w:val="single" w:sz="4" w:space="0" w:color="000000"/>
                    <w:bottom w:val="single" w:sz="4" w:space="0" w:color="000000"/>
                  </w:tcBorders>
                  <w:shd w:val="clear" w:color="auto" w:fill="auto"/>
                  <w:vAlign w:val="center"/>
                </w:tcPr>
                <w:p w:rsidR="002B3F75" w:rsidRPr="002B3F75" w:rsidRDefault="002B3F75" w:rsidP="002B3F75">
                  <w:pPr>
                    <w:shd w:val="clear" w:color="auto" w:fill="FFFFFF"/>
                    <w:contextualSpacing/>
                    <w:jc w:val="center"/>
                    <w:rPr>
                      <w:i/>
                      <w:color w:val="000000"/>
                      <w:szCs w:val="22"/>
                    </w:rPr>
                  </w:pPr>
                  <w:r w:rsidRPr="002B3F75">
                    <w:rPr>
                      <w:i/>
                      <w:color w:val="000000"/>
                      <w:szCs w:val="22"/>
                    </w:rPr>
                    <w:t>1. Наявність документально підтвердженого досвіду виконання аналогічного (аналогічних) за предметом закупівлі договору (договорів).</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2B3F75" w:rsidRPr="002B3F75" w:rsidRDefault="002B3F75" w:rsidP="002B3F75">
                  <w:pPr>
                    <w:pStyle w:val="rvps2"/>
                    <w:shd w:val="clear" w:color="auto" w:fill="FFFFFF"/>
                    <w:spacing w:before="0" w:after="0"/>
                    <w:contextualSpacing/>
                    <w:jc w:val="both"/>
                    <w:textAlignment w:val="baseline"/>
                    <w:rPr>
                      <w:color w:val="000000"/>
                      <w:lang w:val="uk-UA"/>
                    </w:rPr>
                  </w:pPr>
                  <w:r w:rsidRPr="002B3F75">
                    <w:rPr>
                      <w:color w:val="000000"/>
                      <w:lang w:val="uk-UA"/>
                    </w:rPr>
                    <w:t>1.1. Довідка у довільній формі, за підписом керівника, скріплена печаткою Учасника (за її наявності), з зазначенням кількості аналогічних договорів*, переліку організацій (замовників) з адресами та контактними телефонами, сум договорів та стану  їх виконання, в тому числі, своєчасності виконання цих договорів, які  були укладені у 2020-2023 роках разом із копіями договорів, що скановані із оригіналів (не менше двох по закупівлі напівбрикетів торф’яних, не менше двох по закупівлі торфу паливного фрезерного та не менше двох по закупівлі вугілля кам’яного), що вказані в Довідці, та оригіналами відгуків від замовників відповідно до наданих договорів.</w:t>
                  </w:r>
                </w:p>
                <w:p w:rsidR="002B3F75" w:rsidRPr="002B3F75" w:rsidRDefault="002B3F75" w:rsidP="002B3F75">
                  <w:pPr>
                    <w:pStyle w:val="rvps2"/>
                    <w:shd w:val="clear" w:color="auto" w:fill="FFFFFF"/>
                    <w:spacing w:before="0" w:after="0"/>
                    <w:contextualSpacing/>
                    <w:jc w:val="both"/>
                    <w:textAlignment w:val="baseline"/>
                    <w:rPr>
                      <w:color w:val="000000"/>
                      <w:lang w:val="uk-UA"/>
                    </w:rPr>
                  </w:pPr>
                  <w:r w:rsidRPr="002B3F75">
                    <w:rPr>
                      <w:color w:val="000000"/>
                      <w:lang w:val="uk-UA"/>
                    </w:rPr>
                    <w:t xml:space="preserve">* </w:t>
                  </w:r>
                  <w:r w:rsidRPr="002B3F75">
                    <w:rPr>
                      <w:i/>
                      <w:color w:val="000000"/>
                      <w:lang w:val="uk-UA"/>
                    </w:rPr>
                    <w:t xml:space="preserve">- аналогічними договорами відповідно до умов цієї документації є договори щодо поставки продукції, яка відноситься до </w:t>
                  </w:r>
                  <w:r w:rsidRPr="002B3F75">
                    <w:rPr>
                      <w:i/>
                      <w:color w:val="000000"/>
                      <w:lang w:val="uk-UA"/>
                    </w:rPr>
                    <w:lastRenderedPageBreak/>
                    <w:t>того з самого класу ДК 021:2015 «Єдиний закупівельний словник», що є предметом закупівлі цих торгів та які укладені із Замовниками 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закупівлі».</w:t>
                  </w:r>
                  <w:r w:rsidRPr="002B3F75">
                    <w:rPr>
                      <w:color w:val="000000"/>
                      <w:lang w:val="uk-UA"/>
                    </w:rPr>
                    <w:t xml:space="preserve"> </w:t>
                  </w:r>
                </w:p>
                <w:p w:rsidR="002B3F75" w:rsidRPr="002B3F75" w:rsidRDefault="002B3F75" w:rsidP="002B3F75">
                  <w:pPr>
                    <w:pStyle w:val="rvps2"/>
                    <w:shd w:val="clear" w:color="auto" w:fill="FFFFFF"/>
                    <w:spacing w:before="0" w:after="0"/>
                    <w:contextualSpacing/>
                    <w:jc w:val="both"/>
                    <w:textAlignment w:val="baseline"/>
                    <w:rPr>
                      <w:i/>
                      <w:color w:val="000000"/>
                      <w:lang w:val="uk-UA"/>
                    </w:rPr>
                  </w:pPr>
                  <w:r w:rsidRPr="002B3F75">
                    <w:rPr>
                      <w:color w:val="000000"/>
                      <w:lang w:val="uk-UA"/>
                    </w:rPr>
                    <w:t>1.2. Відгуки повинні містити інформацію про укладений договір, якість поставленого Учасником товару, своєчасність поставки цього товару, наявність чи відсутність будь-яких зауважень зі сторони Замовника.</w:t>
                  </w:r>
                </w:p>
              </w:tc>
            </w:tr>
          </w:tbl>
          <w:p w:rsidR="00F10607" w:rsidRPr="002B3F75" w:rsidRDefault="00F10607" w:rsidP="0073200B">
            <w:pPr>
              <w:autoSpaceDE w:val="0"/>
              <w:autoSpaceDN w:val="0"/>
              <w:contextualSpacing/>
              <w:jc w:val="both"/>
              <w:rPr>
                <w:sz w:val="16"/>
                <w:szCs w:val="16"/>
              </w:rPr>
            </w:pPr>
          </w:p>
        </w:tc>
        <w:tc>
          <w:tcPr>
            <w:tcW w:w="6946" w:type="dxa"/>
            <w:vAlign w:val="center"/>
          </w:tcPr>
          <w:p w:rsidR="002B3F75" w:rsidRPr="002B3F75" w:rsidRDefault="002B3F75" w:rsidP="002B3F75">
            <w:pPr>
              <w:pStyle w:val="210"/>
              <w:shd w:val="clear" w:color="auto" w:fill="FFFFFF"/>
              <w:spacing w:after="0" w:line="240" w:lineRule="auto"/>
              <w:ind w:left="0" w:right="100"/>
              <w:contextualSpacing/>
              <w:jc w:val="both"/>
              <w:rPr>
                <w:rFonts w:ascii="Times New Roman" w:hAnsi="Times New Roman"/>
                <w:color w:val="000000"/>
                <w:sz w:val="24"/>
                <w:szCs w:val="24"/>
                <w:lang w:val="uk-UA"/>
              </w:rPr>
            </w:pPr>
            <w:r w:rsidRPr="002B3F75">
              <w:rPr>
                <w:rFonts w:ascii="Times New Roman" w:hAnsi="Times New Roman"/>
                <w:sz w:val="24"/>
                <w:szCs w:val="24"/>
                <w:lang w:val="uk-UA"/>
              </w:rPr>
              <w:lastRenderedPageBreak/>
              <w:t xml:space="preserve">3.5.2. </w:t>
            </w:r>
            <w:r w:rsidRPr="002B3F75">
              <w:rPr>
                <w:rFonts w:ascii="Times New Roman" w:hAnsi="Times New Roman"/>
                <w:color w:val="000000"/>
                <w:sz w:val="24"/>
                <w:szCs w:val="24"/>
                <w:lang w:val="uk-UA"/>
              </w:rPr>
              <w:t>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6553" w:type="dxa"/>
              <w:tblLayout w:type="fixed"/>
              <w:tblLook w:val="0000" w:firstRow="0" w:lastRow="0" w:firstColumn="0" w:lastColumn="0" w:noHBand="0" w:noVBand="0"/>
            </w:tblPr>
            <w:tblGrid>
              <w:gridCol w:w="1966"/>
              <w:gridCol w:w="4587"/>
            </w:tblGrid>
            <w:tr w:rsidR="002B3F75" w:rsidRPr="002B3F75" w:rsidTr="00356EE4">
              <w:trPr>
                <w:trHeight w:val="125"/>
              </w:trPr>
              <w:tc>
                <w:tcPr>
                  <w:tcW w:w="1966" w:type="dxa"/>
                  <w:tcBorders>
                    <w:top w:val="single" w:sz="4" w:space="0" w:color="000000"/>
                    <w:left w:val="single" w:sz="4" w:space="0" w:color="000000"/>
                    <w:bottom w:val="single" w:sz="4" w:space="0" w:color="000000"/>
                  </w:tcBorders>
                  <w:shd w:val="clear" w:color="auto" w:fill="auto"/>
                </w:tcPr>
                <w:p w:rsidR="002B3F75" w:rsidRPr="002B3F75" w:rsidRDefault="002B3F75" w:rsidP="002B3F75">
                  <w:pPr>
                    <w:pStyle w:val="22"/>
                    <w:shd w:val="clear" w:color="auto" w:fill="FFFFFF"/>
                    <w:spacing w:after="0" w:line="240" w:lineRule="auto"/>
                    <w:ind w:left="0"/>
                    <w:contextualSpacing/>
                    <w:rPr>
                      <w:rFonts w:ascii="Times New Roman" w:hAnsi="Times New Roman" w:cs="Times New Roman"/>
                      <w:color w:val="000000"/>
                      <w:sz w:val="24"/>
                      <w:szCs w:val="24"/>
                      <w:lang w:val="uk-UA"/>
                    </w:rPr>
                  </w:pPr>
                  <w:r w:rsidRPr="002B3F75">
                    <w:rPr>
                      <w:rFonts w:ascii="Times New Roman" w:hAnsi="Times New Roman" w:cs="Times New Roman"/>
                      <w:b/>
                      <w:i/>
                      <w:color w:val="000000"/>
                      <w:sz w:val="24"/>
                      <w:szCs w:val="24"/>
                      <w:lang w:val="uk-UA"/>
                    </w:rPr>
                    <w:t>Кваліфікаційний критерій</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2B3F75" w:rsidRPr="002B3F75" w:rsidRDefault="002B3F75" w:rsidP="002B3F75">
                  <w:pPr>
                    <w:pStyle w:val="22"/>
                    <w:shd w:val="clear" w:color="auto" w:fill="FFFFFF"/>
                    <w:spacing w:after="0" w:line="240" w:lineRule="auto"/>
                    <w:ind w:left="0"/>
                    <w:contextualSpacing/>
                    <w:jc w:val="center"/>
                    <w:rPr>
                      <w:rFonts w:ascii="Times New Roman" w:hAnsi="Times New Roman" w:cs="Times New Roman"/>
                      <w:color w:val="000000"/>
                      <w:sz w:val="24"/>
                      <w:szCs w:val="24"/>
                      <w:lang w:val="uk-UA"/>
                    </w:rPr>
                  </w:pPr>
                  <w:r w:rsidRPr="002B3F75">
                    <w:rPr>
                      <w:rFonts w:ascii="Times New Roman" w:hAnsi="Times New Roman" w:cs="Times New Roman"/>
                      <w:b/>
                      <w:i/>
                      <w:color w:val="000000"/>
                      <w:sz w:val="24"/>
                      <w:szCs w:val="24"/>
                      <w:lang w:val="uk-UA"/>
                    </w:rPr>
                    <w:t>Документальне підтвердження</w:t>
                  </w:r>
                </w:p>
              </w:tc>
            </w:tr>
            <w:tr w:rsidR="002B3F75" w:rsidRPr="002B3F75" w:rsidTr="00356EE4">
              <w:trPr>
                <w:trHeight w:val="1708"/>
              </w:trPr>
              <w:tc>
                <w:tcPr>
                  <w:tcW w:w="1966" w:type="dxa"/>
                  <w:tcBorders>
                    <w:top w:val="single" w:sz="4" w:space="0" w:color="000000"/>
                    <w:left w:val="single" w:sz="4" w:space="0" w:color="000000"/>
                    <w:bottom w:val="single" w:sz="4" w:space="0" w:color="000000"/>
                  </w:tcBorders>
                  <w:shd w:val="clear" w:color="auto" w:fill="auto"/>
                  <w:vAlign w:val="center"/>
                </w:tcPr>
                <w:p w:rsidR="002B3F75" w:rsidRPr="002B3F75" w:rsidRDefault="002B3F75" w:rsidP="002B3F75">
                  <w:pPr>
                    <w:shd w:val="clear" w:color="auto" w:fill="FFFFFF"/>
                    <w:contextualSpacing/>
                    <w:jc w:val="center"/>
                    <w:rPr>
                      <w:i/>
                      <w:color w:val="000000"/>
                      <w:szCs w:val="22"/>
                    </w:rPr>
                  </w:pPr>
                  <w:r w:rsidRPr="002B3F75">
                    <w:rPr>
                      <w:i/>
                      <w:color w:val="000000"/>
                      <w:szCs w:val="22"/>
                    </w:rPr>
                    <w:t>1. Наявність документально підтвердженого досвіду виконання аналогічного (аналогічних) за предметом закупівлі договору (договорів).</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2B3F75" w:rsidRPr="00F9525F" w:rsidRDefault="002B3F75" w:rsidP="002B3F75">
                  <w:pPr>
                    <w:pStyle w:val="rvps2"/>
                    <w:shd w:val="clear" w:color="auto" w:fill="FFFFFF"/>
                    <w:spacing w:before="0" w:after="0"/>
                    <w:contextualSpacing/>
                    <w:jc w:val="both"/>
                    <w:textAlignment w:val="baseline"/>
                    <w:rPr>
                      <w:color w:val="000000"/>
                      <w:lang w:val="uk-UA"/>
                    </w:rPr>
                  </w:pPr>
                  <w:r w:rsidRPr="00F9525F">
                    <w:rPr>
                      <w:color w:val="000000"/>
                      <w:lang w:val="uk-UA"/>
                    </w:rPr>
                    <w:t>1.1. Довідка у довільній формі, за підписом керівника, скріплена печаткою Учасника (за її наявності), з зазначенням кількості аналогічних договорів*, переліку організацій (замовників) з адресами та контактними телефонами, сум договорів та стану  їх виконання, в тому числі, своєчасності виконання цих договорів, які  були укладені у 2020-2023 роках разом із копіями договорів, що скановані із оригіналів, що вказані в Довідці, та оригіналами відгуків від замовників відповідно до наданих договорів.</w:t>
                  </w:r>
                </w:p>
                <w:p w:rsidR="002B3F75" w:rsidRPr="00F9525F" w:rsidRDefault="002B3F75" w:rsidP="002B3F75">
                  <w:pPr>
                    <w:pStyle w:val="rvps2"/>
                    <w:shd w:val="clear" w:color="auto" w:fill="FFFFFF"/>
                    <w:spacing w:before="0" w:after="0"/>
                    <w:contextualSpacing/>
                    <w:jc w:val="both"/>
                    <w:textAlignment w:val="baseline"/>
                    <w:rPr>
                      <w:color w:val="000000"/>
                      <w:sz w:val="22"/>
                      <w:lang w:val="uk-UA"/>
                    </w:rPr>
                  </w:pPr>
                  <w:r w:rsidRPr="00F9525F">
                    <w:rPr>
                      <w:color w:val="000000"/>
                      <w:sz w:val="22"/>
                      <w:lang w:val="uk-UA"/>
                    </w:rPr>
                    <w:t xml:space="preserve">* </w:t>
                  </w:r>
                  <w:r w:rsidRPr="00F9525F">
                    <w:rPr>
                      <w:i/>
                      <w:color w:val="000000"/>
                      <w:sz w:val="22"/>
                      <w:lang w:val="uk-UA"/>
                    </w:rPr>
                    <w:t>-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закупівлі цих.</w:t>
                  </w:r>
                  <w:r w:rsidRPr="00F9525F">
                    <w:rPr>
                      <w:color w:val="000000"/>
                      <w:sz w:val="22"/>
                      <w:lang w:val="uk-UA"/>
                    </w:rPr>
                    <w:t xml:space="preserve"> </w:t>
                  </w:r>
                </w:p>
                <w:p w:rsidR="002B3F75" w:rsidRPr="002B3F75" w:rsidRDefault="002B3F75" w:rsidP="002B3F75">
                  <w:pPr>
                    <w:pStyle w:val="rvps2"/>
                    <w:shd w:val="clear" w:color="auto" w:fill="FFFFFF"/>
                    <w:spacing w:before="0" w:after="0"/>
                    <w:contextualSpacing/>
                    <w:jc w:val="both"/>
                    <w:textAlignment w:val="baseline"/>
                    <w:rPr>
                      <w:i/>
                      <w:color w:val="000000"/>
                      <w:lang w:val="uk-UA"/>
                    </w:rPr>
                  </w:pPr>
                  <w:r w:rsidRPr="00F9525F">
                    <w:rPr>
                      <w:color w:val="000000"/>
                      <w:lang w:val="uk-UA"/>
                    </w:rPr>
                    <w:lastRenderedPageBreak/>
                    <w:t>1.2. Відгуки повинні містити інформацію про укладений договір, якість поставленого Учасником товару, своєчасність поставки цього товару, наявність чи відсутність будь-яких зауважень зі сторони Замовника.</w:t>
                  </w:r>
                </w:p>
              </w:tc>
            </w:tr>
          </w:tbl>
          <w:p w:rsidR="00F10607" w:rsidRPr="002B3F75" w:rsidRDefault="00F10607" w:rsidP="006D242E">
            <w:pPr>
              <w:autoSpaceDE w:val="0"/>
              <w:autoSpaceDN w:val="0"/>
              <w:contextualSpacing/>
              <w:jc w:val="both"/>
              <w:rPr>
                <w:sz w:val="16"/>
                <w:szCs w:val="16"/>
              </w:rPr>
            </w:pPr>
          </w:p>
        </w:tc>
      </w:tr>
      <w:tr w:rsidR="007847A2" w:rsidRPr="002B3F75" w:rsidTr="00DB69F5">
        <w:trPr>
          <w:trHeight w:val="85"/>
        </w:trPr>
        <w:tc>
          <w:tcPr>
            <w:tcW w:w="993" w:type="dxa"/>
            <w:vAlign w:val="center"/>
          </w:tcPr>
          <w:p w:rsidR="007847A2" w:rsidRPr="002B3F75" w:rsidRDefault="002B3F75" w:rsidP="00F10607">
            <w:pPr>
              <w:jc w:val="center"/>
              <w:rPr>
                <w:b/>
                <w:color w:val="000000"/>
                <w:sz w:val="22"/>
                <w:szCs w:val="22"/>
              </w:rPr>
            </w:pPr>
            <w:r>
              <w:rPr>
                <w:b/>
                <w:color w:val="000000"/>
                <w:sz w:val="22"/>
                <w:szCs w:val="22"/>
              </w:rPr>
              <w:lastRenderedPageBreak/>
              <w:t>3</w:t>
            </w:r>
          </w:p>
        </w:tc>
        <w:tc>
          <w:tcPr>
            <w:tcW w:w="1325" w:type="dxa"/>
            <w:vAlign w:val="center"/>
          </w:tcPr>
          <w:p w:rsidR="007847A2" w:rsidRPr="002B3F75" w:rsidRDefault="00187909" w:rsidP="00F10607">
            <w:pPr>
              <w:jc w:val="center"/>
              <w:rPr>
                <w:b/>
                <w:color w:val="000000"/>
                <w:sz w:val="22"/>
                <w:szCs w:val="22"/>
              </w:rPr>
            </w:pPr>
            <w:r w:rsidRPr="002B3F75">
              <w:rPr>
                <w:b/>
                <w:color w:val="000000"/>
                <w:sz w:val="22"/>
                <w:szCs w:val="22"/>
              </w:rPr>
              <w:t>П.п. 4.1.1. п. 1 розділу IV ТД</w:t>
            </w:r>
          </w:p>
        </w:tc>
        <w:tc>
          <w:tcPr>
            <w:tcW w:w="7038" w:type="dxa"/>
            <w:vAlign w:val="center"/>
          </w:tcPr>
          <w:p w:rsidR="002B3F75" w:rsidRDefault="002B3F75" w:rsidP="002B3F75">
            <w:pPr>
              <w:autoSpaceDE w:val="0"/>
              <w:autoSpaceDN w:val="0"/>
              <w:contextualSpacing/>
              <w:jc w:val="both"/>
            </w:pPr>
            <w:r>
              <w:t xml:space="preserve">4.1.1. Кінцевий строк подання тендерних пропозицій (не менше ніж сім днів): </w:t>
            </w:r>
          </w:p>
          <w:p w:rsidR="002B3F75" w:rsidRPr="002B3F75" w:rsidRDefault="002B3F75" w:rsidP="002B3F75">
            <w:pPr>
              <w:autoSpaceDE w:val="0"/>
              <w:autoSpaceDN w:val="0"/>
              <w:contextualSpacing/>
              <w:jc w:val="both"/>
              <w:rPr>
                <w:b/>
              </w:rPr>
            </w:pPr>
            <w:r w:rsidRPr="002B3F75">
              <w:rPr>
                <w:b/>
              </w:rPr>
              <w:t>Дата - «16» березня 2024 року</w:t>
            </w:r>
          </w:p>
          <w:p w:rsidR="007847A2" w:rsidRPr="002B3F75" w:rsidRDefault="002B3F75" w:rsidP="002B3F75">
            <w:pPr>
              <w:autoSpaceDE w:val="0"/>
              <w:autoSpaceDN w:val="0"/>
              <w:contextualSpacing/>
              <w:jc w:val="both"/>
            </w:pPr>
            <w:r w:rsidRPr="002B3F75">
              <w:rPr>
                <w:b/>
              </w:rPr>
              <w:t>Час – до 18:00 год.</w:t>
            </w:r>
          </w:p>
        </w:tc>
        <w:tc>
          <w:tcPr>
            <w:tcW w:w="6946" w:type="dxa"/>
            <w:vAlign w:val="center"/>
          </w:tcPr>
          <w:p w:rsidR="002B3F75" w:rsidRDefault="002B3F75" w:rsidP="002B3F75">
            <w:pPr>
              <w:autoSpaceDE w:val="0"/>
              <w:autoSpaceDN w:val="0"/>
              <w:contextualSpacing/>
              <w:jc w:val="both"/>
            </w:pPr>
            <w:r>
              <w:t xml:space="preserve">4.1.1. Кінцевий строк подання тендерних пропозицій (не менше ніж сім днів): </w:t>
            </w:r>
          </w:p>
          <w:p w:rsidR="002B3F75" w:rsidRPr="002B3F75" w:rsidRDefault="002B3F75" w:rsidP="002B3F75">
            <w:pPr>
              <w:autoSpaceDE w:val="0"/>
              <w:autoSpaceDN w:val="0"/>
              <w:contextualSpacing/>
              <w:jc w:val="both"/>
              <w:rPr>
                <w:b/>
              </w:rPr>
            </w:pPr>
            <w:r w:rsidRPr="002B3F75">
              <w:rPr>
                <w:b/>
              </w:rPr>
              <w:t>Дата - «</w:t>
            </w:r>
            <w:r>
              <w:rPr>
                <w:b/>
              </w:rPr>
              <w:t>02</w:t>
            </w:r>
            <w:r w:rsidRPr="002B3F75">
              <w:rPr>
                <w:b/>
              </w:rPr>
              <w:t xml:space="preserve">» </w:t>
            </w:r>
            <w:r>
              <w:rPr>
                <w:b/>
              </w:rPr>
              <w:t>квітня</w:t>
            </w:r>
            <w:r w:rsidRPr="002B3F75">
              <w:rPr>
                <w:b/>
              </w:rPr>
              <w:t xml:space="preserve"> 2024 року</w:t>
            </w:r>
          </w:p>
          <w:p w:rsidR="007847A2" w:rsidRPr="002B3F75" w:rsidRDefault="002B3F75" w:rsidP="002B3F75">
            <w:pPr>
              <w:autoSpaceDE w:val="0"/>
              <w:autoSpaceDN w:val="0"/>
              <w:contextualSpacing/>
              <w:jc w:val="both"/>
              <w:rPr>
                <w:sz w:val="22"/>
                <w:szCs w:val="16"/>
              </w:rPr>
            </w:pPr>
            <w:r w:rsidRPr="002B3F75">
              <w:rPr>
                <w:b/>
              </w:rPr>
              <w:t>Час – до 18:00 год.</w:t>
            </w:r>
          </w:p>
        </w:tc>
      </w:tr>
      <w:tr w:rsidR="007847A2" w:rsidRPr="002B3F75" w:rsidTr="00DB69F5">
        <w:trPr>
          <w:trHeight w:val="85"/>
        </w:trPr>
        <w:tc>
          <w:tcPr>
            <w:tcW w:w="993" w:type="dxa"/>
            <w:vAlign w:val="center"/>
          </w:tcPr>
          <w:p w:rsidR="007847A2" w:rsidRPr="002B3F75" w:rsidRDefault="002B3F75" w:rsidP="00F10607">
            <w:pPr>
              <w:jc w:val="center"/>
              <w:rPr>
                <w:b/>
                <w:color w:val="000000"/>
                <w:sz w:val="22"/>
                <w:szCs w:val="22"/>
              </w:rPr>
            </w:pPr>
            <w:r>
              <w:rPr>
                <w:b/>
                <w:color w:val="000000"/>
                <w:sz w:val="22"/>
                <w:szCs w:val="22"/>
              </w:rPr>
              <w:t>4</w:t>
            </w:r>
          </w:p>
        </w:tc>
        <w:tc>
          <w:tcPr>
            <w:tcW w:w="1325" w:type="dxa"/>
            <w:vAlign w:val="center"/>
          </w:tcPr>
          <w:p w:rsidR="007847A2" w:rsidRPr="002B3F75" w:rsidRDefault="002B3F75" w:rsidP="00F10607">
            <w:pPr>
              <w:jc w:val="center"/>
              <w:rPr>
                <w:b/>
                <w:color w:val="000000"/>
                <w:sz w:val="22"/>
                <w:szCs w:val="22"/>
              </w:rPr>
            </w:pPr>
            <w:r>
              <w:rPr>
                <w:b/>
                <w:color w:val="000000"/>
                <w:sz w:val="22"/>
                <w:szCs w:val="22"/>
              </w:rPr>
              <w:t>П. 13 д</w:t>
            </w:r>
            <w:r w:rsidR="00187909" w:rsidRPr="002B3F75">
              <w:rPr>
                <w:b/>
                <w:color w:val="000000"/>
                <w:sz w:val="22"/>
                <w:szCs w:val="22"/>
              </w:rPr>
              <w:t>одат</w:t>
            </w:r>
            <w:r>
              <w:rPr>
                <w:b/>
                <w:color w:val="000000"/>
                <w:sz w:val="22"/>
                <w:szCs w:val="22"/>
              </w:rPr>
              <w:t>ку</w:t>
            </w:r>
            <w:r w:rsidR="00187909" w:rsidRPr="002B3F75">
              <w:rPr>
                <w:b/>
                <w:color w:val="000000"/>
                <w:sz w:val="22"/>
                <w:szCs w:val="22"/>
              </w:rPr>
              <w:t xml:space="preserve"> </w:t>
            </w:r>
            <w:r>
              <w:rPr>
                <w:b/>
                <w:color w:val="000000"/>
                <w:sz w:val="22"/>
                <w:szCs w:val="22"/>
              </w:rPr>
              <w:t>2</w:t>
            </w:r>
            <w:r w:rsidR="00187909" w:rsidRPr="002B3F75">
              <w:rPr>
                <w:b/>
                <w:color w:val="000000"/>
                <w:sz w:val="22"/>
                <w:szCs w:val="22"/>
              </w:rPr>
              <w:t xml:space="preserve"> до ТД</w:t>
            </w:r>
          </w:p>
        </w:tc>
        <w:tc>
          <w:tcPr>
            <w:tcW w:w="7038" w:type="dxa"/>
            <w:vAlign w:val="center"/>
          </w:tcPr>
          <w:p w:rsidR="002B3F75" w:rsidRPr="00B741CE" w:rsidRDefault="002B3F75" w:rsidP="002B3F75">
            <w:pPr>
              <w:contextualSpacing/>
              <w:jc w:val="both"/>
              <w:rPr>
                <w:rFonts w:eastAsia="Calibri"/>
                <w:b/>
              </w:rPr>
            </w:pPr>
            <w:r w:rsidRPr="00B741CE">
              <w:rPr>
                <w:rFonts w:eastAsia="Calibri"/>
                <w:b/>
              </w:rPr>
              <w:t>13. Учасниками у складі тендерної пропозиції надаються:</w:t>
            </w:r>
          </w:p>
          <w:p w:rsidR="002B3F75" w:rsidRPr="00B741CE" w:rsidRDefault="002B3F75" w:rsidP="002B3F75">
            <w:pPr>
              <w:shd w:val="clear" w:color="auto" w:fill="FFFFFF"/>
              <w:contextualSpacing/>
              <w:jc w:val="both"/>
            </w:pPr>
            <w:r w:rsidRPr="00B741CE">
              <w:rPr>
                <w:rStyle w:val="af1"/>
              </w:rPr>
              <w:t xml:space="preserve">- </w:t>
            </w:r>
            <w:r w:rsidRPr="00B741CE">
              <w:t xml:space="preserve">Копію сертифікату якості </w:t>
            </w:r>
            <w:r>
              <w:t>на н</w:t>
            </w:r>
            <w:r w:rsidRPr="00B301C1">
              <w:t xml:space="preserve">апівбрикет торф'яний </w:t>
            </w:r>
            <w:r w:rsidRPr="00B741CE">
              <w:t xml:space="preserve">виданого Українською Інспекцією “Укрінспаливо”, </w:t>
            </w:r>
            <w:r w:rsidRPr="0017104F">
              <w:t>вказаний сертифікат якості повинен бути виданий не раніше березня 2023 року</w:t>
            </w:r>
            <w:r w:rsidRPr="00B741CE">
              <w:t>;</w:t>
            </w:r>
          </w:p>
          <w:p w:rsidR="007847A2" w:rsidRPr="002B3F75" w:rsidRDefault="002B3F75" w:rsidP="002B3F75">
            <w:pPr>
              <w:shd w:val="clear" w:color="auto" w:fill="FFFFFF"/>
              <w:contextualSpacing/>
              <w:jc w:val="both"/>
            </w:pPr>
            <w:r w:rsidRPr="00B741CE">
              <w:t>- Учасник торгів повинен підтвердити якість</w:t>
            </w:r>
            <w:r>
              <w:t xml:space="preserve"> усього обсягу</w:t>
            </w:r>
            <w:r w:rsidRPr="00B741CE">
              <w:t xml:space="preserve"> напівбрикетів торф'яних, що пропонується до </w:t>
            </w:r>
            <w:r>
              <w:t>поставки</w:t>
            </w:r>
            <w:r w:rsidRPr="00B741CE">
              <w:t>, наданням в складі пропозиції оригінал</w:t>
            </w:r>
            <w:r>
              <w:t xml:space="preserve"> документу передбаченого абзацом другим пункту 2.1. </w:t>
            </w:r>
            <w:r w:rsidRPr="0017104F">
              <w:t>РСТ УРСР 1297-82</w:t>
            </w:r>
            <w:r>
              <w:t xml:space="preserve"> «</w:t>
            </w:r>
            <w:proofErr w:type="spellStart"/>
            <w:r>
              <w:t>Полубрикети</w:t>
            </w:r>
            <w:proofErr w:type="spellEnd"/>
            <w:r>
              <w:t xml:space="preserve"> </w:t>
            </w:r>
            <w:r w:rsidRPr="00CE7E23">
              <w:t>торф'ян</w:t>
            </w:r>
            <w:r>
              <w:t>і. Технічні умови»</w:t>
            </w:r>
            <w:r w:rsidRPr="00CE7E23">
              <w:t xml:space="preserve"> </w:t>
            </w:r>
            <w:r w:rsidRPr="0017104F">
              <w:t xml:space="preserve">вказаний </w:t>
            </w:r>
            <w:r>
              <w:t>документ</w:t>
            </w:r>
            <w:r w:rsidRPr="0017104F">
              <w:t xml:space="preserve"> повинен бути виданий не раніше березня 2023 року</w:t>
            </w:r>
            <w:r>
              <w:t>.</w:t>
            </w:r>
          </w:p>
        </w:tc>
        <w:tc>
          <w:tcPr>
            <w:tcW w:w="6946" w:type="dxa"/>
            <w:vAlign w:val="center"/>
          </w:tcPr>
          <w:p w:rsidR="002B3F75" w:rsidRPr="00B741CE" w:rsidRDefault="002B3F75" w:rsidP="002B3F75">
            <w:pPr>
              <w:contextualSpacing/>
              <w:jc w:val="both"/>
              <w:rPr>
                <w:rFonts w:eastAsia="Calibri"/>
                <w:b/>
              </w:rPr>
            </w:pPr>
            <w:r w:rsidRPr="00B741CE">
              <w:rPr>
                <w:rFonts w:eastAsia="Calibri"/>
                <w:b/>
              </w:rPr>
              <w:t>13. Учасниками у складі тендерної пропозиції надаються:</w:t>
            </w:r>
          </w:p>
          <w:p w:rsidR="007847A2" w:rsidRPr="002B3F75" w:rsidRDefault="002B3F75" w:rsidP="002B3F75">
            <w:pPr>
              <w:shd w:val="clear" w:color="auto" w:fill="FFFFFF"/>
              <w:contextualSpacing/>
              <w:jc w:val="both"/>
            </w:pPr>
            <w:r w:rsidRPr="00B741CE">
              <w:t>- Учасник торгів повинен підтвердити якість</w:t>
            </w:r>
            <w:r>
              <w:t xml:space="preserve"> усього обсягу</w:t>
            </w:r>
            <w:r w:rsidRPr="00B741CE">
              <w:t xml:space="preserve"> напівбрикетів торф'яних, що пропонується до </w:t>
            </w:r>
            <w:r>
              <w:t>поставки</w:t>
            </w:r>
            <w:r w:rsidRPr="00B741CE">
              <w:t>, наданням в складі пропозиції оригінал</w:t>
            </w:r>
            <w:r>
              <w:t xml:space="preserve"> документу передбаченого абзацом другим пункту 2.1. </w:t>
            </w:r>
            <w:r w:rsidRPr="0017104F">
              <w:t>РСТ УРСР 1297-82</w:t>
            </w:r>
            <w:r>
              <w:t xml:space="preserve"> «</w:t>
            </w:r>
            <w:proofErr w:type="spellStart"/>
            <w:r>
              <w:t>Полубрикети</w:t>
            </w:r>
            <w:proofErr w:type="spellEnd"/>
            <w:r>
              <w:t xml:space="preserve"> </w:t>
            </w:r>
            <w:r w:rsidRPr="00CE7E23">
              <w:t>торф'ян</w:t>
            </w:r>
            <w:r>
              <w:t>і. Технічні умови»</w:t>
            </w:r>
            <w:r w:rsidR="009564F9">
              <w:t xml:space="preserve"> </w:t>
            </w:r>
            <w:bookmarkStart w:id="0" w:name="_GoBack"/>
            <w:bookmarkEnd w:id="0"/>
            <w:r>
              <w:t>.</w:t>
            </w:r>
          </w:p>
        </w:tc>
      </w:tr>
      <w:tr w:rsidR="002B3F75" w:rsidRPr="002B3F75" w:rsidTr="00DB69F5">
        <w:trPr>
          <w:trHeight w:val="85"/>
        </w:trPr>
        <w:tc>
          <w:tcPr>
            <w:tcW w:w="993" w:type="dxa"/>
            <w:vAlign w:val="center"/>
          </w:tcPr>
          <w:p w:rsidR="002B3F75" w:rsidRDefault="002B3F75" w:rsidP="00F10607">
            <w:pPr>
              <w:jc w:val="center"/>
              <w:rPr>
                <w:b/>
                <w:color w:val="000000"/>
                <w:sz w:val="22"/>
                <w:szCs w:val="22"/>
              </w:rPr>
            </w:pPr>
            <w:r>
              <w:rPr>
                <w:b/>
                <w:color w:val="000000"/>
                <w:sz w:val="22"/>
                <w:szCs w:val="22"/>
              </w:rPr>
              <w:t>5</w:t>
            </w:r>
          </w:p>
        </w:tc>
        <w:tc>
          <w:tcPr>
            <w:tcW w:w="1325" w:type="dxa"/>
            <w:vAlign w:val="center"/>
          </w:tcPr>
          <w:p w:rsidR="002B3F75" w:rsidRDefault="002B3F75" w:rsidP="00F10607">
            <w:pPr>
              <w:jc w:val="center"/>
              <w:rPr>
                <w:b/>
                <w:color w:val="000000"/>
                <w:sz w:val="22"/>
                <w:szCs w:val="22"/>
              </w:rPr>
            </w:pPr>
            <w:r>
              <w:rPr>
                <w:b/>
                <w:color w:val="000000"/>
                <w:sz w:val="22"/>
                <w:szCs w:val="22"/>
              </w:rPr>
              <w:t>П. 14 д</w:t>
            </w:r>
            <w:r w:rsidRPr="002B3F75">
              <w:rPr>
                <w:b/>
                <w:color w:val="000000"/>
                <w:sz w:val="22"/>
                <w:szCs w:val="22"/>
              </w:rPr>
              <w:t>одат</w:t>
            </w:r>
            <w:r>
              <w:rPr>
                <w:b/>
                <w:color w:val="000000"/>
                <w:sz w:val="22"/>
                <w:szCs w:val="22"/>
              </w:rPr>
              <w:t>ку</w:t>
            </w:r>
            <w:r w:rsidRPr="002B3F75">
              <w:rPr>
                <w:b/>
                <w:color w:val="000000"/>
                <w:sz w:val="22"/>
                <w:szCs w:val="22"/>
              </w:rPr>
              <w:t xml:space="preserve"> </w:t>
            </w:r>
            <w:r>
              <w:rPr>
                <w:b/>
                <w:color w:val="000000"/>
                <w:sz w:val="22"/>
                <w:szCs w:val="22"/>
              </w:rPr>
              <w:t>2</w:t>
            </w:r>
            <w:r w:rsidRPr="002B3F75">
              <w:rPr>
                <w:b/>
                <w:color w:val="000000"/>
                <w:sz w:val="22"/>
                <w:szCs w:val="22"/>
              </w:rPr>
              <w:t xml:space="preserve"> до ТД</w:t>
            </w:r>
          </w:p>
        </w:tc>
        <w:tc>
          <w:tcPr>
            <w:tcW w:w="7038" w:type="dxa"/>
            <w:vAlign w:val="center"/>
          </w:tcPr>
          <w:p w:rsidR="002B3F75" w:rsidRPr="00B741CE" w:rsidRDefault="002B3F75" w:rsidP="002B3F75">
            <w:pPr>
              <w:contextualSpacing/>
              <w:jc w:val="both"/>
              <w:rPr>
                <w:rFonts w:eastAsia="Calibri"/>
                <w:b/>
              </w:rPr>
            </w:pPr>
            <w:r>
              <w:rPr>
                <w:rFonts w:eastAsia="Calibri"/>
                <w:b/>
              </w:rPr>
              <w:t>Доповнити Додаток 2 до ТД пунктом 14</w:t>
            </w:r>
          </w:p>
        </w:tc>
        <w:tc>
          <w:tcPr>
            <w:tcW w:w="6946" w:type="dxa"/>
            <w:vAlign w:val="center"/>
          </w:tcPr>
          <w:p w:rsidR="002B3F75" w:rsidRPr="00BC5FAC" w:rsidRDefault="002B3F75" w:rsidP="002B3F75">
            <w:pPr>
              <w:shd w:val="clear" w:color="auto" w:fill="FFFFFF"/>
              <w:contextualSpacing/>
              <w:jc w:val="both"/>
              <w:rPr>
                <w:i/>
              </w:rPr>
            </w:pPr>
            <w:r w:rsidRPr="00BC5FAC">
              <w:rPr>
                <w:i/>
              </w:rPr>
              <w:t>14. Відповідно до положень пункту 2.1. РСТ УРСР 1297-82 «Напівбрикети торф’яні. Технічні умови» - Прийомку напівбрикетів у виробника виконує інспекція «Укрінспаливо» партіями по ГОСТ 13674-78. На кожну партію продукції видається паспорт.</w:t>
            </w:r>
          </w:p>
          <w:p w:rsidR="002B3F75" w:rsidRPr="00BC5FAC" w:rsidRDefault="002B3F75" w:rsidP="002B3F75">
            <w:pPr>
              <w:shd w:val="clear" w:color="auto" w:fill="FFFFFF"/>
              <w:contextualSpacing/>
              <w:jc w:val="both"/>
              <w:rPr>
                <w:i/>
              </w:rPr>
            </w:pPr>
            <w:r w:rsidRPr="00BC5FAC">
              <w:rPr>
                <w:i/>
              </w:rPr>
              <w:t>Партією торф’яної продукції згідно п. 2 ГОСТ 13674-78 вважається:</w:t>
            </w:r>
          </w:p>
          <w:p w:rsidR="002B3F75" w:rsidRPr="00BC5FAC" w:rsidRDefault="002B3F75" w:rsidP="002B3F75">
            <w:pPr>
              <w:shd w:val="clear" w:color="auto" w:fill="FFFFFF"/>
              <w:contextualSpacing/>
              <w:jc w:val="both"/>
              <w:rPr>
                <w:i/>
              </w:rPr>
            </w:pPr>
            <w:r w:rsidRPr="00BC5FAC">
              <w:rPr>
                <w:i/>
              </w:rPr>
              <w:t>- окремий залізничний вагон або маршрут – при постачанні залізницею широкої колії;</w:t>
            </w:r>
          </w:p>
          <w:p w:rsidR="002B3F75" w:rsidRPr="00BC5FAC" w:rsidRDefault="002B3F75" w:rsidP="002B3F75">
            <w:pPr>
              <w:shd w:val="clear" w:color="auto" w:fill="FFFFFF"/>
              <w:contextualSpacing/>
              <w:jc w:val="both"/>
              <w:rPr>
                <w:i/>
              </w:rPr>
            </w:pPr>
            <w:r w:rsidRPr="00BC5FAC">
              <w:rPr>
                <w:i/>
              </w:rPr>
              <w:lastRenderedPageBreak/>
              <w:t>- добове відвантаження – при поставці залізницею вузької колії або регулярній поставці одному споживачеві в вагонах широкої колії;</w:t>
            </w:r>
          </w:p>
          <w:p w:rsidR="002B3F75" w:rsidRPr="00BC5FAC" w:rsidRDefault="002B3F75" w:rsidP="002B3F75">
            <w:pPr>
              <w:shd w:val="clear" w:color="auto" w:fill="FFFFFF"/>
              <w:contextualSpacing/>
              <w:jc w:val="both"/>
              <w:rPr>
                <w:i/>
              </w:rPr>
            </w:pPr>
            <w:r w:rsidRPr="00BC5FAC">
              <w:rPr>
                <w:i/>
              </w:rPr>
              <w:t>- окремий штабель або добове відвантаження – при поставці автотранспортом (з укрупнених штабелів – добове відвантаження);</w:t>
            </w:r>
          </w:p>
          <w:p w:rsidR="002B3F75" w:rsidRPr="00BC5FAC" w:rsidRDefault="002B3F75" w:rsidP="002B3F75">
            <w:pPr>
              <w:shd w:val="clear" w:color="auto" w:fill="FFFFFF"/>
              <w:contextualSpacing/>
              <w:jc w:val="both"/>
              <w:rPr>
                <w:i/>
              </w:rPr>
            </w:pPr>
            <w:r w:rsidRPr="00BC5FAC">
              <w:rPr>
                <w:i/>
              </w:rPr>
              <w:t>- окрему карту і групу карт – при вивезенні кускового торфу з проміжних операцій сушки;</w:t>
            </w:r>
          </w:p>
          <w:p w:rsidR="002B3F75" w:rsidRPr="00BC5FAC" w:rsidRDefault="002B3F75" w:rsidP="002B3F75">
            <w:pPr>
              <w:shd w:val="clear" w:color="auto" w:fill="FFFFFF"/>
              <w:contextualSpacing/>
              <w:jc w:val="both"/>
              <w:rPr>
                <w:i/>
              </w:rPr>
            </w:pPr>
            <w:r w:rsidRPr="00BC5FAC">
              <w:rPr>
                <w:i/>
              </w:rPr>
              <w:t>-  змінне або добове  вироблення брикетів і напівбрикетів.</w:t>
            </w:r>
          </w:p>
          <w:p w:rsidR="002B3F75" w:rsidRPr="00BC5FAC" w:rsidRDefault="002B3F75" w:rsidP="002B3F75">
            <w:pPr>
              <w:shd w:val="clear" w:color="auto" w:fill="FFFFFF"/>
              <w:contextualSpacing/>
              <w:jc w:val="both"/>
              <w:rPr>
                <w:i/>
              </w:rPr>
            </w:pPr>
            <w:r w:rsidRPr="00BC5FAC">
              <w:rPr>
                <w:i/>
              </w:rPr>
              <w:t>Пунктом 2.2. РСТ УРСР 1297-82 «Напівбрикети торф’яні. Технічні умови» передбачено, що Споживач має право проводити контрольну перевірку відповідності якості партії напівбрикетів які надійшли, разом із інспекцією «Укрінспаливо» в відповідності з ГОСТ 13674-78 і ГОСТ 5396-77.</w:t>
            </w:r>
          </w:p>
          <w:p w:rsidR="002B3F75" w:rsidRPr="002B3F75" w:rsidRDefault="002B3F75" w:rsidP="002B3F75">
            <w:pPr>
              <w:shd w:val="clear" w:color="auto" w:fill="FFFFFF"/>
              <w:contextualSpacing/>
              <w:jc w:val="both"/>
              <w:rPr>
                <w:i/>
              </w:rPr>
            </w:pPr>
            <w:r w:rsidRPr="00BC5FAC">
              <w:rPr>
                <w:i/>
              </w:rPr>
              <w:t>Пунктом 11 ГОСТ 13674-78 «Торф. Правила прийому» передбачено, що при відвантажені партії торф’яної продукції декільком споживачам показники якості, визначені для усієї партії, розповсюджуються на певні частини її та вказуються в документі про якість для кожного споживача.</w:t>
            </w:r>
          </w:p>
        </w:tc>
      </w:tr>
    </w:tbl>
    <w:p w:rsidR="00B31274" w:rsidRPr="002B3F75" w:rsidRDefault="00B31274" w:rsidP="00077A71">
      <w:pPr>
        <w:shd w:val="clear" w:color="auto" w:fill="FFFFFF"/>
        <w:tabs>
          <w:tab w:val="left" w:pos="720"/>
        </w:tabs>
        <w:jc w:val="center"/>
        <w:rPr>
          <w:b/>
          <w:bCs/>
          <w:spacing w:val="1"/>
          <w:sz w:val="22"/>
          <w:szCs w:val="22"/>
        </w:rPr>
      </w:pPr>
    </w:p>
    <w:p w:rsidR="00670560" w:rsidRPr="002B3F75" w:rsidRDefault="00670560" w:rsidP="00077A71">
      <w:pPr>
        <w:shd w:val="clear" w:color="auto" w:fill="FFFFFF"/>
        <w:tabs>
          <w:tab w:val="left" w:pos="720"/>
        </w:tabs>
        <w:jc w:val="center"/>
        <w:rPr>
          <w:b/>
          <w:bCs/>
          <w:spacing w:val="1"/>
          <w:sz w:val="22"/>
          <w:szCs w:val="22"/>
        </w:rPr>
      </w:pPr>
    </w:p>
    <w:p w:rsidR="00670560" w:rsidRPr="002B3F75" w:rsidRDefault="00670560" w:rsidP="00077A71">
      <w:pPr>
        <w:shd w:val="clear" w:color="auto" w:fill="FFFFFF"/>
        <w:tabs>
          <w:tab w:val="left" w:pos="720"/>
        </w:tabs>
        <w:jc w:val="center"/>
        <w:rPr>
          <w:b/>
          <w:bCs/>
          <w:spacing w:val="1"/>
          <w:sz w:val="22"/>
          <w:szCs w:val="22"/>
        </w:rPr>
      </w:pPr>
    </w:p>
    <w:p w:rsidR="00F10607" w:rsidRPr="002B3F75" w:rsidRDefault="00CE3061" w:rsidP="00F10607">
      <w:pPr>
        <w:shd w:val="clear" w:color="auto" w:fill="FFFFFF"/>
        <w:tabs>
          <w:tab w:val="left" w:pos="720"/>
        </w:tabs>
        <w:jc w:val="center"/>
        <w:rPr>
          <w:b/>
          <w:bCs/>
          <w:spacing w:val="1"/>
        </w:rPr>
      </w:pPr>
      <w:r w:rsidRPr="002B3F75">
        <w:rPr>
          <w:b/>
          <w:bCs/>
          <w:spacing w:val="1"/>
          <w:sz w:val="22"/>
          <w:szCs w:val="22"/>
        </w:rPr>
        <w:t>Уповноважена особа</w:t>
      </w:r>
      <w:r w:rsidR="007311E9" w:rsidRPr="002B3F75">
        <w:rPr>
          <w:b/>
          <w:bCs/>
          <w:spacing w:val="1"/>
          <w:sz w:val="22"/>
          <w:szCs w:val="22"/>
        </w:rPr>
        <w:tab/>
      </w:r>
      <w:r w:rsidR="00750491" w:rsidRPr="002B3F75">
        <w:rPr>
          <w:b/>
          <w:bCs/>
          <w:spacing w:val="1"/>
          <w:sz w:val="22"/>
          <w:szCs w:val="22"/>
        </w:rPr>
        <w:tab/>
      </w:r>
      <w:r w:rsidR="008D3271" w:rsidRPr="002B3F75">
        <w:rPr>
          <w:b/>
          <w:bCs/>
          <w:spacing w:val="1"/>
          <w:sz w:val="22"/>
          <w:szCs w:val="22"/>
        </w:rPr>
        <w:t xml:space="preserve">_____________ </w:t>
      </w:r>
      <w:r w:rsidR="008D3271" w:rsidRPr="002B3F75">
        <w:rPr>
          <w:b/>
          <w:bCs/>
          <w:spacing w:val="1"/>
          <w:sz w:val="22"/>
          <w:szCs w:val="22"/>
        </w:rPr>
        <w:tab/>
      </w:r>
      <w:r w:rsidR="002B3F75" w:rsidRPr="002B3F75">
        <w:rPr>
          <w:rFonts w:eastAsia="Courier New"/>
          <w:b/>
        </w:rPr>
        <w:t>Світлана ФРАНКОВА</w:t>
      </w:r>
    </w:p>
    <w:p w:rsidR="00732F4D" w:rsidRPr="002B3F75" w:rsidRDefault="007311E9" w:rsidP="00077A71">
      <w:pPr>
        <w:shd w:val="clear" w:color="auto" w:fill="FFFFFF"/>
        <w:tabs>
          <w:tab w:val="left" w:pos="720"/>
        </w:tabs>
        <w:jc w:val="center"/>
        <w:rPr>
          <w:b/>
          <w:bCs/>
          <w:spacing w:val="1"/>
          <w:sz w:val="22"/>
          <w:szCs w:val="22"/>
        </w:rPr>
      </w:pPr>
      <w:r w:rsidRPr="002B3F75">
        <w:rPr>
          <w:b/>
          <w:bCs/>
          <w:spacing w:val="1"/>
          <w:sz w:val="22"/>
          <w:szCs w:val="22"/>
        </w:rPr>
        <w:tab/>
      </w:r>
      <w:r w:rsidRPr="002B3F75">
        <w:rPr>
          <w:b/>
          <w:bCs/>
          <w:spacing w:val="1"/>
          <w:sz w:val="22"/>
          <w:szCs w:val="22"/>
        </w:rPr>
        <w:tab/>
      </w:r>
      <w:r w:rsidRPr="002B3F75">
        <w:rPr>
          <w:b/>
          <w:bCs/>
          <w:spacing w:val="1"/>
          <w:sz w:val="22"/>
          <w:szCs w:val="22"/>
        </w:rPr>
        <w:tab/>
      </w:r>
    </w:p>
    <w:sectPr w:rsidR="00732F4D" w:rsidRPr="002B3F75"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2"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7"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9"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0"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1"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3"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8"/>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12"/>
  </w:num>
  <w:num w:numId="11">
    <w:abstractNumId w:val="3"/>
  </w:num>
  <w:num w:numId="12">
    <w:abstractNumId w:val="13"/>
  </w:num>
  <w:num w:numId="13">
    <w:abstractNumId w:val="7"/>
  </w:num>
  <w:num w:numId="14">
    <w:abstractNumId w:val="11"/>
  </w:num>
  <w:num w:numId="15">
    <w:abstractNumId w:val="6"/>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D3271"/>
    <w:rsid w:val="00004C3B"/>
    <w:rsid w:val="000050C0"/>
    <w:rsid w:val="000169E8"/>
    <w:rsid w:val="00021C0A"/>
    <w:rsid w:val="00036258"/>
    <w:rsid w:val="0004036E"/>
    <w:rsid w:val="00051D2D"/>
    <w:rsid w:val="00067B02"/>
    <w:rsid w:val="00077A71"/>
    <w:rsid w:val="00083059"/>
    <w:rsid w:val="000B0FBF"/>
    <w:rsid w:val="000E306E"/>
    <w:rsid w:val="000E3199"/>
    <w:rsid w:val="000E3FD1"/>
    <w:rsid w:val="000F43AD"/>
    <w:rsid w:val="00103B01"/>
    <w:rsid w:val="001138C4"/>
    <w:rsid w:val="001434F6"/>
    <w:rsid w:val="0016209F"/>
    <w:rsid w:val="00187909"/>
    <w:rsid w:val="001C0CCB"/>
    <w:rsid w:val="001C416F"/>
    <w:rsid w:val="001F55A0"/>
    <w:rsid w:val="00224540"/>
    <w:rsid w:val="00237659"/>
    <w:rsid w:val="002B3F75"/>
    <w:rsid w:val="002D2BC5"/>
    <w:rsid w:val="002F4232"/>
    <w:rsid w:val="002F54CC"/>
    <w:rsid w:val="00323DFC"/>
    <w:rsid w:val="00345549"/>
    <w:rsid w:val="003510AA"/>
    <w:rsid w:val="003B049C"/>
    <w:rsid w:val="003B4E84"/>
    <w:rsid w:val="003F6CC1"/>
    <w:rsid w:val="004043C3"/>
    <w:rsid w:val="00426074"/>
    <w:rsid w:val="004924A9"/>
    <w:rsid w:val="004A27B5"/>
    <w:rsid w:val="004A34D8"/>
    <w:rsid w:val="004B71E5"/>
    <w:rsid w:val="004E24AC"/>
    <w:rsid w:val="004F1DAA"/>
    <w:rsid w:val="00502010"/>
    <w:rsid w:val="00553016"/>
    <w:rsid w:val="005E38E8"/>
    <w:rsid w:val="00670560"/>
    <w:rsid w:val="00680296"/>
    <w:rsid w:val="006D0CAA"/>
    <w:rsid w:val="006D242E"/>
    <w:rsid w:val="007311E9"/>
    <w:rsid w:val="0073200B"/>
    <w:rsid w:val="00732F4D"/>
    <w:rsid w:val="00742AC2"/>
    <w:rsid w:val="00750491"/>
    <w:rsid w:val="00757E99"/>
    <w:rsid w:val="007847A2"/>
    <w:rsid w:val="007A1629"/>
    <w:rsid w:val="007A39CE"/>
    <w:rsid w:val="007E1044"/>
    <w:rsid w:val="007E603A"/>
    <w:rsid w:val="00815A8A"/>
    <w:rsid w:val="00870BB2"/>
    <w:rsid w:val="00882FC7"/>
    <w:rsid w:val="008D3271"/>
    <w:rsid w:val="00916334"/>
    <w:rsid w:val="00917E62"/>
    <w:rsid w:val="00922C89"/>
    <w:rsid w:val="00930C61"/>
    <w:rsid w:val="00944244"/>
    <w:rsid w:val="00955EAA"/>
    <w:rsid w:val="009564F9"/>
    <w:rsid w:val="00960636"/>
    <w:rsid w:val="009B533C"/>
    <w:rsid w:val="009C73E1"/>
    <w:rsid w:val="009D63BD"/>
    <w:rsid w:val="009E6795"/>
    <w:rsid w:val="00A24DB4"/>
    <w:rsid w:val="00A27F4C"/>
    <w:rsid w:val="00A80374"/>
    <w:rsid w:val="00A83C45"/>
    <w:rsid w:val="00AA332C"/>
    <w:rsid w:val="00AB5855"/>
    <w:rsid w:val="00AC7304"/>
    <w:rsid w:val="00B228EE"/>
    <w:rsid w:val="00B31274"/>
    <w:rsid w:val="00B37DED"/>
    <w:rsid w:val="00B748F1"/>
    <w:rsid w:val="00B871AA"/>
    <w:rsid w:val="00B97EF6"/>
    <w:rsid w:val="00BB496E"/>
    <w:rsid w:val="00BE7B00"/>
    <w:rsid w:val="00C87E93"/>
    <w:rsid w:val="00C9049B"/>
    <w:rsid w:val="00C9455C"/>
    <w:rsid w:val="00CA1363"/>
    <w:rsid w:val="00CD35F6"/>
    <w:rsid w:val="00CE3061"/>
    <w:rsid w:val="00D925E6"/>
    <w:rsid w:val="00DB69F5"/>
    <w:rsid w:val="00DC57B4"/>
    <w:rsid w:val="00DE4E7F"/>
    <w:rsid w:val="00E01462"/>
    <w:rsid w:val="00E02FE8"/>
    <w:rsid w:val="00E422BC"/>
    <w:rsid w:val="00E4698E"/>
    <w:rsid w:val="00E6275C"/>
    <w:rsid w:val="00E71699"/>
    <w:rsid w:val="00EA6930"/>
    <w:rsid w:val="00EA71FA"/>
    <w:rsid w:val="00EB2D83"/>
    <w:rsid w:val="00EE479C"/>
    <w:rsid w:val="00F10607"/>
    <w:rsid w:val="00FA24BE"/>
    <w:rsid w:val="00FB3765"/>
    <w:rsid w:val="00FC2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EB8B"/>
  <w15:docId w15:val="{32BC4B92-49EB-4F87-B032-1FC82508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3">
    <w:name w:val="heading 3"/>
    <w:basedOn w:val="a"/>
    <w:next w:val="a"/>
    <w:link w:val="31"/>
    <w:qFormat/>
    <w:rsid w:val="002B3F75"/>
    <w:pPr>
      <w:widowControl w:val="0"/>
      <w:numPr>
        <w:ilvl w:val="2"/>
        <w:numId w:val="1"/>
      </w:numPr>
      <w:tabs>
        <w:tab w:val="left" w:pos="0"/>
      </w:tabs>
      <w:autoSpaceDE w:val="0"/>
      <w:outlineLvl w:val="2"/>
    </w:pPr>
    <w:rPr>
      <w:rFonts w:ascii="Times New Roman CYR" w:hAnsi="Times New Roman CYR"/>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ae">
    <w:name w:val="Виділення"/>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0">
    <w:name w:val="Обычный1"/>
    <w:uiPriority w:val="99"/>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styleId="af">
    <w:name w:val="Document Map"/>
    <w:basedOn w:val="a"/>
    <w:link w:val="af0"/>
    <w:uiPriority w:val="99"/>
    <w:unhideWhenUsed/>
    <w:rsid w:val="00224540"/>
    <w:pPr>
      <w:widowControl w:val="0"/>
      <w:autoSpaceDE w:val="0"/>
    </w:pPr>
    <w:rPr>
      <w:lang w:val="x-none" w:eastAsia="zh-CN"/>
    </w:rPr>
  </w:style>
  <w:style w:type="character" w:customStyle="1" w:styleId="af0">
    <w:name w:val="Схема документа Знак"/>
    <w:basedOn w:val="a0"/>
    <w:link w:val="af"/>
    <w:uiPriority w:val="99"/>
    <w:rsid w:val="00224540"/>
    <w:rPr>
      <w:rFonts w:ascii="Times New Roman" w:eastAsia="Times New Roman" w:hAnsi="Times New Roman"/>
      <w:sz w:val="24"/>
      <w:szCs w:val="24"/>
      <w:lang w:val="x-none" w:eastAsia="zh-CN"/>
    </w:rPr>
  </w:style>
  <w:style w:type="character" w:customStyle="1" w:styleId="30">
    <w:name w:val="Заголовок 3 Знак"/>
    <w:basedOn w:val="a0"/>
    <w:uiPriority w:val="9"/>
    <w:semiHidden/>
    <w:rsid w:val="002B3F75"/>
    <w:rPr>
      <w:rFonts w:asciiTheme="majorHAnsi" w:eastAsiaTheme="majorEastAsia" w:hAnsiTheme="majorHAnsi" w:cstheme="majorBidi"/>
      <w:color w:val="243F60" w:themeColor="accent1" w:themeShade="7F"/>
      <w:sz w:val="24"/>
      <w:szCs w:val="24"/>
      <w:lang w:val="uk-UA" w:eastAsia="ar-SA"/>
    </w:rPr>
  </w:style>
  <w:style w:type="character" w:customStyle="1" w:styleId="31">
    <w:name w:val="Заголовок 3 Знак1"/>
    <w:link w:val="3"/>
    <w:locked/>
    <w:rsid w:val="002B3F75"/>
    <w:rPr>
      <w:rFonts w:ascii="Times New Roman CYR" w:eastAsia="Times New Roman" w:hAnsi="Times New Roman CYR"/>
      <w:sz w:val="24"/>
      <w:szCs w:val="24"/>
      <w:lang w:val="x-none" w:eastAsia="zh-CN"/>
    </w:rPr>
  </w:style>
  <w:style w:type="character" w:styleId="af1">
    <w:name w:val="Emphasis"/>
    <w:qFormat/>
    <w:rsid w:val="002B3F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199D-FD77-40F8-8315-46AC6AB8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Svitlana</cp:lastModifiedBy>
  <cp:revision>89</cp:revision>
  <cp:lastPrinted>2022-12-13T05:41:00Z</cp:lastPrinted>
  <dcterms:created xsi:type="dcterms:W3CDTF">2020-03-25T13:50:00Z</dcterms:created>
  <dcterms:modified xsi:type="dcterms:W3CDTF">2024-03-28T13:00:00Z</dcterms:modified>
</cp:coreProperties>
</file>