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E" w:rsidRDefault="006C086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086E" w:rsidRPr="00F82C70" w:rsidRDefault="002A2D7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C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6C086E" w:rsidRPr="00F82C70" w:rsidRDefault="002A2D7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6C086E" w:rsidRPr="00F82C70" w:rsidRDefault="002A2D7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C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6C086E" w:rsidRPr="008F2592" w:rsidRDefault="002A2D7D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:rsidR="008F2592" w:rsidRDefault="008F2592" w:rsidP="008F2592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tbl>
      <w:tblPr>
        <w:tblW w:w="9919" w:type="dxa"/>
        <w:tblInd w:w="-1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977"/>
        <w:gridCol w:w="6233"/>
      </w:tblGrid>
      <w:tr w:rsidR="008F2592" w:rsidRPr="004E58EA" w:rsidTr="000B3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92" w:rsidRPr="004E58EA" w:rsidRDefault="008F2592" w:rsidP="000B37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92" w:rsidRPr="004E58EA" w:rsidRDefault="008F2592" w:rsidP="000B37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92" w:rsidRPr="004E58EA" w:rsidRDefault="008F2592" w:rsidP="000B379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мають</w:t>
            </w:r>
            <w:proofErr w:type="spell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бути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надані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sz w:val="20"/>
                <w:szCs w:val="20"/>
              </w:rPr>
              <w:t>кваліфікації</w:t>
            </w:r>
            <w:proofErr w:type="spellEnd"/>
          </w:p>
        </w:tc>
      </w:tr>
      <w:tr w:rsidR="008F2592" w:rsidRPr="004E58EA" w:rsidTr="000B37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92" w:rsidRPr="004E58EA" w:rsidRDefault="008F2592" w:rsidP="000B37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92" w:rsidRPr="004E58EA" w:rsidRDefault="008F2592" w:rsidP="000B37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документально </w:t>
            </w:r>
            <w:proofErr w:type="spellStart"/>
            <w:proofErr w:type="gram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ідтвердженого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592" w:rsidRPr="004E58EA" w:rsidRDefault="008F2592" w:rsidP="000B3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F2592" w:rsidRPr="004E58EA" w:rsidRDefault="008F2592" w:rsidP="000B3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одного договору);</w:t>
            </w:r>
          </w:p>
          <w:p w:rsidR="008F2592" w:rsidRPr="004E58EA" w:rsidRDefault="008F2592" w:rsidP="000B3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Аналогічним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договором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відповідно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 умов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цієї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документації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є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догові</w:t>
            </w:r>
            <w:proofErr w:type="gram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  <w:proofErr w:type="gram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наявність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досвіду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поставки товару (за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комерційним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(прямим) договором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або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договором,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укладеним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 результатами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закупівлі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закупівлі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(тендеру)),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який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є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предметом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закупівлі</w:t>
            </w:r>
            <w:proofErr w:type="spellEnd"/>
            <w:r w:rsidRPr="004E5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8F2592" w:rsidRPr="004E58EA" w:rsidRDefault="008F2592" w:rsidP="000B3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- не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proofErr w:type="gram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ідці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2592" w:rsidRDefault="008F2592" w:rsidP="000B3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/а на </w:t>
            </w:r>
            <w:proofErr w:type="spellStart"/>
            <w:proofErr w:type="gram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одного договору,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наданій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4E58EA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</w:p>
          <w:p w:rsidR="008F2592" w:rsidRPr="00990BA0" w:rsidRDefault="00990BA0" w:rsidP="0099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/>
              </w:rPr>
            </w:pPr>
            <w:proofErr w:type="spellStart"/>
            <w:r w:rsidRPr="00990B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Аналогічними</w:t>
            </w:r>
            <w:proofErr w:type="spellEnd"/>
            <w:r w:rsidRPr="00990B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договорами в </w:t>
            </w:r>
            <w:proofErr w:type="spellStart"/>
            <w:r w:rsidRPr="00990B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розумінні</w:t>
            </w:r>
            <w:proofErr w:type="spellEnd"/>
            <w:r w:rsidRPr="00990B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0B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цієї</w:t>
            </w:r>
            <w:proofErr w:type="spellEnd"/>
            <w:r w:rsidRPr="00990B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0B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документації</w:t>
            </w:r>
            <w:proofErr w:type="spellEnd"/>
            <w:r w:rsidRPr="00990B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0B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вважаються</w:t>
            </w:r>
            <w:proofErr w:type="spellEnd"/>
            <w:r w:rsidRPr="00990B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договори за ДК 021:2015 код 85140000-2 </w:t>
            </w:r>
            <w:proofErr w:type="spellStart"/>
            <w:r w:rsidRPr="00990B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Послуги</w:t>
            </w:r>
            <w:proofErr w:type="spellEnd"/>
            <w:r w:rsidRPr="00990B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990B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сфері</w:t>
            </w:r>
            <w:proofErr w:type="spellEnd"/>
            <w:r w:rsidRPr="00990B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0B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охорони</w:t>
            </w:r>
            <w:proofErr w:type="spellEnd"/>
            <w:r w:rsidRPr="00990B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0B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здоров’я</w:t>
            </w:r>
            <w:proofErr w:type="spellEnd"/>
            <w:r w:rsidRPr="00990B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90B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</w:t>
            </w:r>
            <w:proofErr w:type="gramEnd"/>
            <w:r w:rsidRPr="00990B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ізні</w:t>
            </w:r>
            <w:proofErr w:type="spellEnd"/>
          </w:p>
        </w:tc>
      </w:tr>
    </w:tbl>
    <w:p w:rsidR="00CB493E" w:rsidRPr="008F2592" w:rsidRDefault="00CB493E" w:rsidP="008F2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6A22D2" w:rsidRDefault="006A22D2" w:rsidP="006A22D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A22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Підстави для відмови  в участі в процедурі закупівлі  (пункт 47 Особливостей). </w:t>
      </w:r>
    </w:p>
    <w:p w:rsidR="004239E4" w:rsidRPr="00E506E5" w:rsidRDefault="004239E4" w:rsidP="004239E4">
      <w:pPr>
        <w:pStyle w:val="af7"/>
        <w:widowControl w:val="0"/>
        <w:ind w:left="360" w:firstLine="360"/>
        <w:jc w:val="both"/>
        <w:rPr>
          <w:rFonts w:ascii="Times New Roman" w:hAnsi="Times New Roman"/>
          <w:sz w:val="20"/>
        </w:rPr>
      </w:pPr>
      <w:r w:rsidRPr="00E506E5">
        <w:rPr>
          <w:rFonts w:ascii="Times New Roman" w:hAnsi="Times New Roman"/>
          <w:sz w:val="20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4239E4" w:rsidRPr="00E506E5" w:rsidRDefault="004239E4" w:rsidP="004239E4">
      <w:pPr>
        <w:pStyle w:val="af7"/>
        <w:widowControl w:val="0"/>
        <w:jc w:val="both"/>
        <w:rPr>
          <w:rFonts w:ascii="Times New Roman" w:hAnsi="Times New Roman"/>
          <w:sz w:val="20"/>
          <w:shd w:val="clear" w:color="auto" w:fill="FFFFFF"/>
        </w:rPr>
      </w:pPr>
      <w:r w:rsidRPr="00E506E5">
        <w:rPr>
          <w:rFonts w:ascii="Times New Roman" w:hAnsi="Times New Roman"/>
          <w:sz w:val="20"/>
        </w:rPr>
        <w:t>Учасник проц</w:t>
      </w:r>
      <w:r w:rsidRPr="00E506E5">
        <w:rPr>
          <w:rFonts w:ascii="Times New Roman" w:hAnsi="Times New Roman"/>
          <w:sz w:val="20"/>
          <w:shd w:val="clear" w:color="auto" w:fill="FFFFFF"/>
        </w:rPr>
        <w:t>едури закупівлі підтверджує відсутність підстав, зазначених в пункті 47 Особливостей (крім підпунктів 1,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4239E4" w:rsidRPr="00E506E5" w:rsidRDefault="004239E4" w:rsidP="004239E4">
      <w:pPr>
        <w:pStyle w:val="af7"/>
        <w:widowControl w:val="0"/>
        <w:jc w:val="both"/>
        <w:rPr>
          <w:rFonts w:ascii="Times New Roman" w:hAnsi="Times New Roman"/>
          <w:sz w:val="20"/>
          <w:shd w:val="clear" w:color="auto" w:fill="FFFFFF"/>
        </w:rPr>
      </w:pPr>
      <w:r w:rsidRPr="00E506E5">
        <w:rPr>
          <w:rFonts w:ascii="Times New Roman" w:hAnsi="Times New Roman"/>
          <w:sz w:val="20"/>
          <w:shd w:val="clear" w:color="auto" w:fill="FFFFFF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підпунктів 1, 7, абзацу чотирнадцятого пункту 47 Особливостей), крім самостійного декларування відсутності таких підстав учасником процедури закупівлі відповідно до абзацу шістнадцятого цього пункту.</w:t>
      </w:r>
    </w:p>
    <w:p w:rsidR="004239E4" w:rsidRPr="00E506E5" w:rsidRDefault="004239E4" w:rsidP="004239E4">
      <w:pPr>
        <w:pStyle w:val="af8"/>
        <w:widowControl w:val="0"/>
        <w:spacing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Замовник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самостійно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 результатами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розгляду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тендерної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пропозиції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учасника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процедури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закупі</w:t>
      </w:r>
      <w:proofErr w:type="gram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вл</w:t>
      </w:r>
      <w:proofErr w:type="gram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і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підтверджує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електронній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системі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закупівель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відсутність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учасника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процедури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закупівлі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підстав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визначених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>підпунктами</w:t>
      </w:r>
      <w:proofErr w:type="spellEnd"/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 та 7 пункту </w:t>
      </w:r>
      <w:r w:rsidRPr="00E506E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47 Особливостей.</w:t>
      </w:r>
    </w:p>
    <w:p w:rsidR="004239E4" w:rsidRPr="00E506E5" w:rsidRDefault="004239E4" w:rsidP="004239E4">
      <w:pPr>
        <w:pStyle w:val="af7"/>
        <w:widowControl w:val="0"/>
        <w:jc w:val="both"/>
        <w:rPr>
          <w:rFonts w:ascii="Times New Roman" w:hAnsi="Times New Roman"/>
          <w:color w:val="000000"/>
          <w:sz w:val="20"/>
        </w:rPr>
      </w:pPr>
      <w:r w:rsidRPr="00E506E5">
        <w:rPr>
          <w:rFonts w:ascii="Times New Roman" w:hAnsi="Times New Roman"/>
          <w:sz w:val="20"/>
          <w:shd w:val="clear" w:color="auto" w:fill="FFFFFF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</w:t>
      </w:r>
      <w:r w:rsidRPr="00E506E5">
        <w:rPr>
          <w:rFonts w:ascii="Times New Roman" w:hAnsi="Times New Roman"/>
          <w:sz w:val="20"/>
        </w:rPr>
        <w:t xml:space="preserve"> учасників об’єднання установленим кваліфікаційним критеріям та підставам, визначеним пунктом 47 Особливостей.</w:t>
      </w:r>
    </w:p>
    <w:p w:rsidR="004239E4" w:rsidRPr="004239E4" w:rsidRDefault="004239E4" w:rsidP="004239E4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239E4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</w:r>
    </w:p>
    <w:tbl>
      <w:tblPr>
        <w:tblW w:w="0" w:type="auto"/>
        <w:tblInd w:w="-20" w:type="dxa"/>
        <w:tblLayout w:type="fixed"/>
        <w:tblLook w:val="0000"/>
      </w:tblPr>
      <w:tblGrid>
        <w:gridCol w:w="674"/>
        <w:gridCol w:w="3559"/>
        <w:gridCol w:w="2767"/>
        <w:gridCol w:w="2609"/>
      </w:tblGrid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Підстава для відмови в участі процедурі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учасника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переможця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підтверджує в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електронній системі закупівель відсутність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 учасника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підстав, визначених 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990BA0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Переможець надає витяг або довідку з Єдиного державного реєстру осіб, що вчинили корупційне або пов’язане з корупцією правопорушення  (щодо керівника)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антиконкурентних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ізична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особа, яка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4239E4" w:rsidRPr="00E506E5" w:rsidTr="00893496">
        <w:trPr>
          <w:trHeight w:val="2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ерівник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був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ендерна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подана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пов’язаною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особою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іншими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учасниками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уповноваженою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особою (особами), та/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замовника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підтверджує в електронній системі закупівель відсутність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 учасника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підстав, визначених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цим підпунктом.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часник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визнаний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банкрутом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нього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відкрита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ліквідаційна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процедура;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rPr>
          <w:trHeight w:val="24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“Про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державну реєстрацію юридичних осіб, фізичних осіб — підприємців та громадських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формувань”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(крім нерезидентів);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rPr>
          <w:trHeight w:val="2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pStyle w:val="af7"/>
              <w:widowControl w:val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E506E5">
              <w:rPr>
                <w:rFonts w:ascii="Times New Roman" w:hAnsi="Times New Roman"/>
                <w:sz w:val="20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 або кінцевий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бенефіціарний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“Про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санкції”</w:t>
            </w:r>
            <w:proofErr w:type="spellEnd"/>
            <w:r w:rsidRPr="00E506E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крім випадку, коли активи такої особи в установленому законодавством порядку передані в управління АРМА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Підтвердження не вимагається</w:t>
            </w:r>
          </w:p>
        </w:tc>
      </w:tr>
      <w:tr w:rsidR="004239E4" w:rsidRPr="00E506E5" w:rsidTr="008934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єсистемі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закупівель під час подання тендерної пропозиції.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Витяг про притягнення до кримінальної відповідальності, відсутність/ наявність судимості або обмежень, передбачених кримінально-процесуальним законодавством України (щодо керівника)</w:t>
            </w:r>
          </w:p>
        </w:tc>
      </w:tr>
      <w:tr w:rsidR="004239E4" w:rsidRPr="00990BA0" w:rsidTr="00893496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часник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такого договору.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Довідка в довільній формі про відсутність зазначених підстав;</w:t>
            </w:r>
          </w:p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9E4" w:rsidRPr="00E506E5" w:rsidRDefault="004239E4" w:rsidP="008934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процедури закупівлі, що перебуває в зазначених обставинах, може надати підтвердження вжиття заходів для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доведення своєї надійності, незважаючи на наявність відповідної підстави для відмови в участі у відкритих торгах. Для цього учасник повинен довести, що він сплатив або зобов’язався сплатити відповідні зобов’язання та відшкодування завданих збитків.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замовник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вважає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таке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достатнім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учаснику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відмовлено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9E4" w:rsidRPr="00E506E5" w:rsidRDefault="004239E4" w:rsidP="008934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Переможець надає довідку в довільній формі про те, що між ним та Замовником раніше не було укладено договір про закупівлю, зобов’язання за яким не виконані, що призвело до його дострокового розірвання, і було застосовано санкції у </w:t>
            </w:r>
            <w:r w:rsidRPr="00E506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вигляді штрафів та/або відшкодування збитків </w:t>
            </w:r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E506E5">
              <w:rPr>
                <w:rFonts w:ascii="Times New Roman" w:hAnsi="Times New Roman" w:cs="Times New Roman"/>
                <w:sz w:val="20"/>
                <w:szCs w:val="20"/>
              </w:rPr>
              <w:t xml:space="preserve"> такого договору.</w:t>
            </w:r>
          </w:p>
          <w:p w:rsidR="004239E4" w:rsidRPr="00E506E5" w:rsidRDefault="004239E4" w:rsidP="008934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39E4" w:rsidRPr="00E506E5" w:rsidRDefault="004239E4" w:rsidP="00893496">
            <w:pPr>
              <w:pStyle w:val="af7"/>
              <w:widowControl w:val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E506E5">
              <w:rPr>
                <w:rFonts w:ascii="Times New Roman" w:hAnsi="Times New Roman"/>
                <w:sz w:val="20"/>
              </w:rPr>
              <w:t xml:space="preserve">Якщо переможець процедури закупівлі, перебуває в зазначених обставинах, він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переможець  повинен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6C086E" w:rsidRPr="002D38FB" w:rsidRDefault="006C0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C086E" w:rsidRDefault="002B7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</w:t>
      </w:r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 w:rsidR="002A2D7D"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 w:rsidR="002A2D7D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proofErr w:type="gramStart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</w:t>
      </w:r>
      <w:proofErr w:type="spellEnd"/>
      <w:r w:rsidR="002A2D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c"/>
        <w:tblW w:w="9619" w:type="dxa"/>
        <w:tblInd w:w="-100" w:type="dxa"/>
        <w:tblLayout w:type="fixed"/>
        <w:tblLook w:val="0400"/>
      </w:tblPr>
      <w:tblGrid>
        <w:gridCol w:w="626"/>
        <w:gridCol w:w="8993"/>
      </w:tblGrid>
      <w:tr w:rsidR="006C086E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Default="002A2D7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C086E" w:rsidTr="006174BB">
        <w:trPr>
          <w:trHeight w:val="80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Default="002A2D7D" w:rsidP="00A15F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Pr="00CE4684" w:rsidRDefault="002A2D7D" w:rsidP="006174B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6C086E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Default="002A2D7D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Pr="00CE4684" w:rsidRDefault="002A2D7D" w:rsidP="006174B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Достовірна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довідки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довільної</w:t>
            </w:r>
            <w:proofErr w:type="spellEnd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C37E48" w:rsidRPr="00CE46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ій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Замість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довільної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6C086E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Default="002A2D7D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86E" w:rsidRPr="00CE4684" w:rsidRDefault="002A2D7D" w:rsidP="006174BB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складена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юридичної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засновником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країна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реєстрації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ізвище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ім’я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побатькові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засновника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адреса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громадянство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C086E" w:rsidRPr="00CE4684" w:rsidRDefault="002A2D7D" w:rsidP="006174B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надається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лише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особами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лише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період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Єдиний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державний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функціонує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бенефіціарного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власника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зазначається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лише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юридичними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повинні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</w:t>
            </w:r>
            <w:proofErr w:type="gram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пункту 9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статті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Закону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державну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реєстрацію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4684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 w:rsidRPr="00CE4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 </w:t>
            </w:r>
          </w:p>
        </w:tc>
      </w:tr>
      <w:tr w:rsidR="00CE4684" w:rsidTr="006174BB">
        <w:trPr>
          <w:trHeight w:val="38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6174B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Копію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Статуту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змінами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разі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їх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наявності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іншого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установчого</w:t>
            </w:r>
            <w:proofErr w:type="spell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</w:t>
            </w:r>
            <w:proofErr w:type="gramStart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>у(</w:t>
            </w:r>
            <w:proofErr w:type="gramEnd"/>
            <w:r w:rsidRPr="00CE46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договору) </w:t>
            </w:r>
            <w:r w:rsidRPr="00CE468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CE4684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Копію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документу(-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ів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або довідку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посиланням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документ(-и),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який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складі пропозиції відкритих торгів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що підтверджує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</w:t>
            </w:r>
            <w:proofErr w:type="spellStart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ють</w:t>
            </w:r>
            <w:proofErr w:type="spellEnd"/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правомочність учасника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укладення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договору про</w:t>
            </w: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закупівлю.</w:t>
            </w:r>
          </w:p>
        </w:tc>
      </w:tr>
      <w:tr w:rsidR="00CE4684" w:rsidRPr="00990BA0" w:rsidTr="002D38FB">
        <w:trPr>
          <w:trHeight w:val="3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46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Копію документу, що підтверджує реєстрацію юридичної особи, або фізичної особи – підприємця</w:t>
            </w:r>
          </w:p>
        </w:tc>
      </w:tr>
      <w:tr w:rsidR="00CE4684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CE4684" w:rsidRDefault="00CE4684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684" w:rsidRPr="00824882" w:rsidRDefault="00CE4684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договору, скріплений підписом та печаткою уповноваженої особи учасника згідно додатку №</w:t>
            </w:r>
            <w:r w:rsidR="003C48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лист-згоду з проектом договору</w:t>
            </w:r>
          </w:p>
        </w:tc>
      </w:tr>
      <w:tr w:rsidR="00824882" w:rsidTr="006174BB">
        <w:trPr>
          <w:trHeight w:val="58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882" w:rsidRDefault="00824882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882" w:rsidRPr="00824882" w:rsidRDefault="00824882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Довідка, складена у довільній формі, за підписом уповноваженої особи Учасника та завірена печаткою </w:t>
            </w:r>
            <w:r w:rsidRPr="0082488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(за наявності)</w:t>
            </w: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яка містить відомості про підприємство: </w:t>
            </w:r>
          </w:p>
          <w:p w:rsidR="00824882" w:rsidRPr="00824882" w:rsidRDefault="00824882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а) реквізити (місцезнаходження, телефон, факс); </w:t>
            </w:r>
          </w:p>
          <w:p w:rsidR="00824882" w:rsidRPr="00824882" w:rsidRDefault="00824882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б) керівництво (посада, прізвище, ім’я, по батькові); </w:t>
            </w:r>
          </w:p>
          <w:p w:rsidR="00824882" w:rsidRPr="00824882" w:rsidRDefault="00824882" w:rsidP="006174BB">
            <w:pPr>
              <w:pStyle w:val="af3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в) інформація про реквізити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248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банківського рахунку, за якими буде здійснюватися оплата за договором в разі акцепту</w:t>
            </w:r>
          </w:p>
        </w:tc>
      </w:tr>
      <w:tr w:rsidR="006174BB" w:rsidRPr="002B71B3" w:rsidTr="002D38FB">
        <w:trPr>
          <w:trHeight w:val="8156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4BB" w:rsidRDefault="006174BB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71B3" w:rsidRDefault="002B71B3" w:rsidP="002B71B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закупі</w:t>
            </w:r>
            <w:proofErr w:type="gramStart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2B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є:</w:t>
            </w:r>
          </w:p>
          <w:p w:rsidR="00133E8C" w:rsidRPr="00133E8C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громадянином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Російської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Республіки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Білорусь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крім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того,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проживає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території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законних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ідставах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);</w:t>
            </w:r>
          </w:p>
          <w:p w:rsidR="00133E8C" w:rsidRPr="00133E8C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юридичною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особою,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утвореною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зареєстрованою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відповідно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законодавства</w:t>
            </w:r>
            <w:proofErr w:type="spellEnd"/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осійської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Республіки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Білорусь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133E8C" w:rsidRPr="00133E8C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юридичною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особою,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утвореною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зареєстрованою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відповідно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законодавства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кінцевим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бенефіціарним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</w:t>
            </w: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асником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членом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акціонером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далі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—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активи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133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яко</w:t>
            </w:r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осійська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Федерація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Республіка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крім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того,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ідставах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133E8C" w:rsidRPr="00133E8C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юридичною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утвореною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зареєстрованою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законодавства</w:t>
            </w:r>
            <w:proofErr w:type="spellEnd"/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осійської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крім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випадків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коли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активи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установленому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порядку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передані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Національному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агентству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питань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виявлення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розшуку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активами,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одержаними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від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корупційних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інших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злочинів</w:t>
            </w:r>
            <w:proofErr w:type="spellEnd"/>
            <w:r w:rsidRPr="00133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3E8C" w:rsidRPr="00133E8C" w:rsidRDefault="00133E8C" w:rsidP="00133E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пропонує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тендерній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товари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походженням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(за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винятком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для ремонту та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придбаних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набрання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чинності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постановою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Міні</w:t>
            </w:r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жовтня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2022 р. № 1178.</w:t>
            </w:r>
          </w:p>
          <w:p w:rsidR="00133E8C" w:rsidRPr="00133E8C" w:rsidRDefault="00133E8C" w:rsidP="00133E8C">
            <w:pPr>
              <w:numPr>
                <w:ilvl w:val="1"/>
                <w:numId w:val="2"/>
              </w:numPr>
              <w:suppressAutoHyphens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РФ/ РБ,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кінцевим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бенефіціарним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</w:t>
            </w: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асником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членом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акціонером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далі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—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активи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133E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РФ /РБ,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документальне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ідтвердження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посвідка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посвідчує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паспортний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та/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іміграційна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картка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6174BB" w:rsidRPr="00133E8C" w:rsidRDefault="00133E8C" w:rsidP="00133E8C">
            <w:pPr>
              <w:numPr>
                <w:ilvl w:val="1"/>
                <w:numId w:val="2"/>
              </w:numPr>
              <w:suppressAutoHyphens/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юридичною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утвореною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зареєстрованою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>законодавства</w:t>
            </w:r>
            <w:proofErr w:type="spellEnd"/>
            <w:r w:rsidRPr="00133E8C">
              <w:rPr>
                <w:rFonts w:ascii="Times New Roman" w:hAnsi="Times New Roman" w:cs="Times New Roman"/>
                <w:sz w:val="20"/>
                <w:szCs w:val="20"/>
              </w:rPr>
              <w:t xml:space="preserve"> РФ /РБ,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активи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якої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установленому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порядку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передані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Національному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агентству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питань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виявлення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розшуку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активами,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одержаними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від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корупційних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інших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злочинів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учасник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надає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документ,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що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підтверджує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передачу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активів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саме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згоду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власника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або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відповідну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ухвалу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на передачу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активів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  <w:proofErr w:type="spellEnd"/>
            <w:r w:rsidRPr="00133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 </w:t>
            </w:r>
          </w:p>
        </w:tc>
      </w:tr>
      <w:tr w:rsidR="006174BB" w:rsidRPr="00990BA0" w:rsidTr="00133E8C">
        <w:trPr>
          <w:trHeight w:val="216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4BB" w:rsidRDefault="006174BB" w:rsidP="00A15F1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8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E8C" w:rsidRPr="00133E8C" w:rsidRDefault="00133E8C" w:rsidP="00133E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00"/>
                <w:lang w:val="uk-UA"/>
              </w:rPr>
            </w:pPr>
            <w:r w:rsidRPr="00133E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Учасник, місце реєстрації або місце проживання  якого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      </w:r>
          </w:p>
          <w:p w:rsidR="006174BB" w:rsidRPr="0094373F" w:rsidRDefault="00133E8C" w:rsidP="00133E8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37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      </w:r>
          </w:p>
        </w:tc>
      </w:tr>
    </w:tbl>
    <w:p w:rsidR="006C086E" w:rsidRPr="006174BB" w:rsidRDefault="006C0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C086E" w:rsidRPr="006174BB" w:rsidRDefault="006C086E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6C086E" w:rsidRPr="006174BB" w:rsidSect="00987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A7" w:rsidRDefault="00AA66A7" w:rsidP="00C37E48">
      <w:pPr>
        <w:spacing w:after="0" w:line="240" w:lineRule="auto"/>
      </w:pPr>
      <w:r>
        <w:separator/>
      </w:r>
    </w:p>
  </w:endnote>
  <w:endnote w:type="continuationSeparator" w:id="0">
    <w:p w:rsidR="00AA66A7" w:rsidRDefault="00AA66A7" w:rsidP="00C3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7"/>
      <w:docPartObj>
        <w:docPartGallery w:val="Page Numbers (Bottom of Page)"/>
        <w:docPartUnique/>
      </w:docPartObj>
    </w:sdtPr>
    <w:sdtContent>
      <w:p w:rsidR="00C37E48" w:rsidRDefault="00DE40E7">
        <w:pPr>
          <w:pStyle w:val="af1"/>
          <w:jc w:val="right"/>
        </w:pPr>
        <w:fldSimple w:instr=" PAGE   \* MERGEFORMAT ">
          <w:r w:rsidR="00990BA0">
            <w:rPr>
              <w:noProof/>
            </w:rPr>
            <w:t>5</w:t>
          </w:r>
        </w:fldSimple>
      </w:p>
    </w:sdtContent>
  </w:sdt>
  <w:p w:rsidR="00C37E48" w:rsidRDefault="00C37E48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A7" w:rsidRDefault="00AA66A7" w:rsidP="00C37E48">
      <w:pPr>
        <w:spacing w:after="0" w:line="240" w:lineRule="auto"/>
      </w:pPr>
      <w:r>
        <w:separator/>
      </w:r>
    </w:p>
  </w:footnote>
  <w:footnote w:type="continuationSeparator" w:id="0">
    <w:p w:rsidR="00AA66A7" w:rsidRDefault="00AA66A7" w:rsidP="00C3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48" w:rsidRDefault="00C37E4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3A2A"/>
    <w:multiLevelType w:val="multilevel"/>
    <w:tmpl w:val="228C97AE"/>
    <w:lvl w:ilvl="0">
      <w:start w:val="1"/>
      <w:numFmt w:val="decimal"/>
      <w:lvlText w:val="%1-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31C398C"/>
    <w:multiLevelType w:val="multilevel"/>
    <w:tmpl w:val="E8BAD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86E"/>
    <w:rsid w:val="00026636"/>
    <w:rsid w:val="00034455"/>
    <w:rsid w:val="000876FB"/>
    <w:rsid w:val="00133E8C"/>
    <w:rsid w:val="001D6E50"/>
    <w:rsid w:val="002A2D7D"/>
    <w:rsid w:val="002B71B3"/>
    <w:rsid w:val="002D38FB"/>
    <w:rsid w:val="003C48F1"/>
    <w:rsid w:val="003D42CD"/>
    <w:rsid w:val="004239E4"/>
    <w:rsid w:val="005375F8"/>
    <w:rsid w:val="00586603"/>
    <w:rsid w:val="005A3BCE"/>
    <w:rsid w:val="005E2A22"/>
    <w:rsid w:val="006174BB"/>
    <w:rsid w:val="00674128"/>
    <w:rsid w:val="0069167B"/>
    <w:rsid w:val="006A22D2"/>
    <w:rsid w:val="006C086E"/>
    <w:rsid w:val="006D6CFE"/>
    <w:rsid w:val="006E6251"/>
    <w:rsid w:val="007009DD"/>
    <w:rsid w:val="007173D3"/>
    <w:rsid w:val="007C663D"/>
    <w:rsid w:val="00824882"/>
    <w:rsid w:val="008F2592"/>
    <w:rsid w:val="0094373F"/>
    <w:rsid w:val="00982BA4"/>
    <w:rsid w:val="00987468"/>
    <w:rsid w:val="00990BA0"/>
    <w:rsid w:val="009E2946"/>
    <w:rsid w:val="00A15F1A"/>
    <w:rsid w:val="00A97FD4"/>
    <w:rsid w:val="00AA66A7"/>
    <w:rsid w:val="00AB6366"/>
    <w:rsid w:val="00C37E48"/>
    <w:rsid w:val="00C96892"/>
    <w:rsid w:val="00CB493E"/>
    <w:rsid w:val="00CE4684"/>
    <w:rsid w:val="00CF5569"/>
    <w:rsid w:val="00DE40E7"/>
    <w:rsid w:val="00DE78CE"/>
    <w:rsid w:val="00E700B2"/>
    <w:rsid w:val="00F82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68"/>
  </w:style>
  <w:style w:type="paragraph" w:styleId="1">
    <w:name w:val="heading 1"/>
    <w:basedOn w:val="a"/>
    <w:next w:val="a"/>
    <w:rsid w:val="009874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874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874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874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8746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874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874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8746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9874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98746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C3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37E48"/>
  </w:style>
  <w:style w:type="paragraph" w:styleId="af1">
    <w:name w:val="footer"/>
    <w:basedOn w:val="a"/>
    <w:link w:val="af2"/>
    <w:uiPriority w:val="99"/>
    <w:unhideWhenUsed/>
    <w:rsid w:val="00C3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37E48"/>
  </w:style>
  <w:style w:type="paragraph" w:customStyle="1" w:styleId="af3">
    <w:name w:val="a"/>
    <w:basedOn w:val="a"/>
    <w:uiPriority w:val="99"/>
    <w:rsid w:val="00CE468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f4">
    <w:name w:val="No Spacing"/>
    <w:link w:val="af5"/>
    <w:uiPriority w:val="99"/>
    <w:qFormat/>
    <w:rsid w:val="00824882"/>
    <w:pPr>
      <w:spacing w:after="200" w:line="276" w:lineRule="auto"/>
    </w:pPr>
    <w:rPr>
      <w:rFonts w:eastAsia="Times New Roman" w:cs="Times New Roman"/>
    </w:rPr>
  </w:style>
  <w:style w:type="character" w:customStyle="1" w:styleId="af5">
    <w:name w:val="Без интервала Знак"/>
    <w:link w:val="af4"/>
    <w:uiPriority w:val="99"/>
    <w:locked/>
    <w:rsid w:val="00824882"/>
    <w:rPr>
      <w:rFonts w:eastAsia="Times New Roman" w:cs="Times New Roman"/>
    </w:rPr>
  </w:style>
  <w:style w:type="table" w:styleId="af6">
    <w:name w:val="Table Grid"/>
    <w:basedOn w:val="a1"/>
    <w:uiPriority w:val="59"/>
    <w:rsid w:val="002B71B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ормальний текст"/>
    <w:basedOn w:val="a"/>
    <w:rsid w:val="002B71B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f8">
    <w:name w:val="Содержимое таблицы"/>
    <w:basedOn w:val="a"/>
    <w:rsid w:val="006A22D2"/>
    <w:pPr>
      <w:suppressLineNumbers/>
      <w:suppressAutoHyphens/>
      <w:spacing w:after="200" w:line="276" w:lineRule="auto"/>
    </w:pPr>
    <w:rPr>
      <w:rFonts w:eastAsia="SimSun" w:cs="font18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20</cp:revision>
  <cp:lastPrinted>2023-12-07T16:24:00Z</cp:lastPrinted>
  <dcterms:created xsi:type="dcterms:W3CDTF">2022-11-11T12:53:00Z</dcterms:created>
  <dcterms:modified xsi:type="dcterms:W3CDTF">2023-12-07T16:25:00Z</dcterms:modified>
</cp:coreProperties>
</file>