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4A" w:rsidRPr="00B4524A" w:rsidRDefault="00B4524A" w:rsidP="00B4524A">
      <w:pPr>
        <w:suppressLineNumber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4524A" w:rsidRPr="00B4524A" w:rsidRDefault="00B4524A" w:rsidP="00B4524A">
      <w:pPr>
        <w:suppressLineNumbers/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4524A" w:rsidRPr="00B4524A" w:rsidRDefault="00B4524A" w:rsidP="00B4524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52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Додаток №3 </w:t>
      </w:r>
    </w:p>
    <w:p w:rsidR="00B4524A" w:rsidRPr="00B4524A" w:rsidRDefault="00B4524A" w:rsidP="00B4524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52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ПРОЕКТ</w:t>
      </w:r>
    </w:p>
    <w:p w:rsidR="00B4524A" w:rsidRPr="00B4524A" w:rsidRDefault="00B4524A" w:rsidP="00B4524A">
      <w:pPr>
        <w:widowControl w:val="0"/>
        <w:shd w:val="clear" w:color="auto" w:fill="FFFFFF"/>
        <w:suppressAutoHyphens/>
        <w:spacing w:after="0" w:line="240" w:lineRule="auto"/>
        <w:ind w:left="2270" w:right="2198"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lang w:eastAsia="ru-RU"/>
        </w:rPr>
      </w:pPr>
      <w:r w:rsidRPr="00B4524A">
        <w:rPr>
          <w:rFonts w:ascii="Times New Roman" w:eastAsia="Times New Roman" w:hAnsi="Times New Roman" w:cs="Times New Roman"/>
          <w:b/>
          <w:bCs/>
          <w:color w:val="212121"/>
          <w:spacing w:val="2"/>
          <w:lang w:eastAsia="ru-RU"/>
        </w:rPr>
        <w:t>ДОГОВІР № ___</w:t>
      </w:r>
    </w:p>
    <w:p w:rsidR="00B4524A" w:rsidRPr="00B4524A" w:rsidRDefault="00B4524A" w:rsidP="00B4524A">
      <w:pPr>
        <w:widowControl w:val="0"/>
        <w:shd w:val="clear" w:color="auto" w:fill="FFFFFF"/>
        <w:suppressAutoHyphens/>
        <w:spacing w:after="0" w:line="240" w:lineRule="auto"/>
        <w:ind w:right="71"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pacing w:val="-2"/>
          <w:lang w:eastAsia="ru-RU"/>
        </w:rPr>
      </w:pPr>
      <w:r w:rsidRPr="00B4524A">
        <w:rPr>
          <w:rFonts w:ascii="Times New Roman" w:eastAsia="Times New Roman" w:hAnsi="Times New Roman" w:cs="Times New Roman"/>
          <w:b/>
          <w:bCs/>
          <w:color w:val="212121"/>
          <w:spacing w:val="-2"/>
          <w:lang w:eastAsia="ru-RU"/>
        </w:rPr>
        <w:t xml:space="preserve">про закупівлю послуг </w:t>
      </w:r>
    </w:p>
    <w:p w:rsidR="00B4524A" w:rsidRPr="00B4524A" w:rsidRDefault="00B4524A" w:rsidP="00B4524A">
      <w:pPr>
        <w:widowControl w:val="0"/>
        <w:shd w:val="clear" w:color="auto" w:fill="FFFFFF"/>
        <w:tabs>
          <w:tab w:val="left" w:pos="6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B4524A">
        <w:rPr>
          <w:rFonts w:ascii="Times New Roman" w:eastAsia="Times New Roman" w:hAnsi="Times New Roman" w:cs="Times New Roman"/>
          <w:color w:val="212121"/>
          <w:spacing w:val="-2"/>
          <w:lang w:eastAsia="ru-RU"/>
        </w:rPr>
        <w:t xml:space="preserve"> м. Київ</w:t>
      </w:r>
      <w:r w:rsidRPr="00B4524A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                                                                             </w:t>
      </w:r>
      <w:r w:rsidRPr="00B4524A">
        <w:rPr>
          <w:rFonts w:ascii="Times New Roman" w:eastAsia="Times New Roman" w:hAnsi="Times New Roman" w:cs="Times New Roman"/>
          <w:lang w:eastAsia="ru-RU"/>
        </w:rPr>
        <w:t>«___»_________</w:t>
      </w:r>
      <w:r w:rsidRPr="00B4524A">
        <w:rPr>
          <w:rFonts w:ascii="Times New Roman" w:eastAsia="Times New Roman" w:hAnsi="Times New Roman" w:cs="Times New Roman"/>
          <w:spacing w:val="2"/>
          <w:lang w:eastAsia="ru-RU"/>
        </w:rPr>
        <w:t>2024 року</w:t>
      </w:r>
    </w:p>
    <w:p w:rsidR="00B4524A" w:rsidRPr="00B4524A" w:rsidRDefault="00B4524A" w:rsidP="00B4524A">
      <w:pPr>
        <w:widowControl w:val="0"/>
        <w:shd w:val="clear" w:color="auto" w:fill="FFFFFF"/>
        <w:tabs>
          <w:tab w:val="left" w:pos="62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4524A" w:rsidRPr="00B4524A" w:rsidRDefault="00B4524A" w:rsidP="00B4524A">
      <w:pPr>
        <w:widowControl w:val="0"/>
        <w:shd w:val="clear" w:color="auto" w:fill="FFFFFF"/>
        <w:tabs>
          <w:tab w:val="left" w:pos="3302"/>
          <w:tab w:val="left" w:pos="4853"/>
          <w:tab w:val="left" w:pos="6403"/>
          <w:tab w:val="left" w:pos="7992"/>
          <w:tab w:val="left" w:pos="88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52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Комунальне некомерційне підприємство «Острозька багатопрофільна лікарня» Острозької міської ради Рівненського району Рівненської області</w:t>
      </w:r>
      <w:r w:rsidRPr="00B4524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,</w:t>
      </w:r>
      <w:r w:rsidRPr="00B45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особі</w:t>
      </w:r>
      <w:r w:rsidRPr="00B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Бойка Віталія Івановича</w:t>
      </w:r>
      <w:r w:rsidRPr="00B452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що </w:t>
      </w:r>
      <w:r w:rsidRPr="00B4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діє</w:t>
      </w:r>
      <w:r w:rsidRPr="00B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</w:t>
      </w:r>
      <w:r w:rsidRPr="00B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підставі</w:t>
      </w:r>
      <w:r w:rsidRPr="00B4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4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>Статуту</w:t>
      </w:r>
      <w:r w:rsidRPr="00B4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(далі - Замовник), з однієї сторони, </w:t>
      </w:r>
    </w:p>
    <w:p w:rsidR="00B4524A" w:rsidRPr="00B4524A" w:rsidRDefault="00B4524A" w:rsidP="00B4524A">
      <w:pPr>
        <w:widowControl w:val="0"/>
        <w:shd w:val="clear" w:color="auto" w:fill="FFFFFF"/>
        <w:suppressAutoHyphens/>
        <w:spacing w:after="0" w:line="240" w:lineRule="auto"/>
        <w:ind w:left="67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4524A">
        <w:rPr>
          <w:rFonts w:ascii="Times New Roman" w:eastAsia="Times New Roman" w:hAnsi="Times New Roman" w:cs="Times New Roman"/>
          <w:sz w:val="24"/>
          <w:szCs w:val="24"/>
          <w:lang w:eastAsia="zh-CN"/>
        </w:rPr>
        <w:t>та ______________________________________________________________________</w:t>
      </w:r>
      <w:r w:rsidRPr="00B452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B452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особі ____________ ________________________________, що діє на підставі ____________________, </w:t>
      </w:r>
      <w:r w:rsidRPr="00B4524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(далі - </w:t>
      </w:r>
      <w:r w:rsidRPr="00B4524A">
        <w:rPr>
          <w:rFonts w:ascii="Times New Roman" w:eastAsia="Times New Roman" w:hAnsi="Times New Roman" w:cs="Times New Roman"/>
          <w:bCs/>
          <w:color w:val="212121"/>
          <w:spacing w:val="4"/>
          <w:sz w:val="24"/>
          <w:szCs w:val="24"/>
          <w:lang w:eastAsia="ru-RU"/>
        </w:rPr>
        <w:t xml:space="preserve">Виконавець), </w:t>
      </w:r>
      <w:r w:rsidRPr="00B452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 </w:t>
      </w:r>
      <w:r w:rsidRPr="00B4524A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  <w:lang w:eastAsia="ru-RU"/>
        </w:rPr>
        <w:t xml:space="preserve">іншої </w:t>
      </w:r>
      <w:r w:rsidRPr="00B452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сторони, разом - Сторони, 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 вимог Постанови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B4524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уклали цей договір про таке (далі - Договір):</w:t>
      </w:r>
    </w:p>
    <w:p w:rsidR="00B4524A" w:rsidRPr="00B4524A" w:rsidRDefault="00B4524A" w:rsidP="00B4524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І. ПРЕДМЕТ ДОГОВОРУ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Згідно цього договору Виконавець надає послуги з ремонту та технічного обслуговування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устатковання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Відеогастроскоп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</w:t>
      </w:r>
      <w:r w:rsidRPr="00B4524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-500, серійний номер №7283628633, відповідно до предмета закупівлі згідно CPV за </w:t>
      </w:r>
      <w:r w:rsidRPr="00B4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021:2015 -50420000-5 - Послуги з ремонту і технічного обслуговування медичного та хірургічного обладнання</w:t>
      </w: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1.2. Перелік Послуг, що входять до обслуговування визначаються Сторонами згідно розрахунку, що є невід’ємною частиною цього договору (Додаток №1).</w:t>
      </w:r>
    </w:p>
    <w:p w:rsidR="00B4524A" w:rsidRPr="00B4524A" w:rsidRDefault="00B4524A" w:rsidP="00B4524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ІІ. ЦІНА ДОГОВОРУ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Повна вартість за даним Договором складає _____________ грн. (____________________________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грн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 коп.) крім того ПДВ 20% - _____________ грн.</w:t>
      </w:r>
      <w:r w:rsidRPr="00B452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розрахунку (Додаток 1) що є невід’ємною частиною даного Договору.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Оплата вартості Договору здійснюється Замовником на розрахунковий рахунок Виконавця за фактом надання послуг на підставі підписаних Сторонами Актів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виконаних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, надалі – Акт та не пізніше 30 червня 2024 року.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2.3. Розрахунки проводяться в національній валюті України (гривні).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 Протягом строку дії Договору Сторони можуть провести звірку взаємних розрахунків. 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2.5. Умови договору не повинні змінюватися після підписання Договору до повного виконання зобов’язань Сторонами, крім випадків передбачених в п.19 Постанови КМУ« 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року.</w:t>
      </w:r>
    </w:p>
    <w:p w:rsidR="00B4524A" w:rsidRPr="00B4524A" w:rsidRDefault="00B4524A" w:rsidP="00B4524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ІІІ. ЯКІСТЬ РОБІТ ЧИ ПОСЛУГ</w:t>
      </w:r>
    </w:p>
    <w:p w:rsidR="00B4524A" w:rsidRPr="00B4524A" w:rsidRDefault="00B4524A" w:rsidP="00B4524A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3.1. Якість Послуг, що надаються за даним Договором, повинна відповідати вимогам стандартів, технічних умов, інших нормативних актів, що встановлюють вимоги до їх якості, і підтверджуватися документами, необхідними для такого підтвердження відповідно до законодавства України.</w:t>
      </w:r>
    </w:p>
    <w:p w:rsidR="00B4524A" w:rsidRPr="00B4524A" w:rsidRDefault="00B4524A" w:rsidP="00B4524A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Виконавець гарантує, що має всі необхідні дозволи, ліцензії та повноваження на виконання даного виду робіт, якщо такі документи вимагаються законодавством. </w:t>
      </w:r>
    </w:p>
    <w:p w:rsidR="00B4524A" w:rsidRPr="00B4524A" w:rsidRDefault="00B4524A" w:rsidP="00B4524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ПОРЯДОК</w:t>
      </w: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ЗДАЧІ ТА ПРИЙМАННЯ ПОСЛУГ (РОБІТ)</w:t>
      </w:r>
    </w:p>
    <w:p w:rsidR="00B4524A" w:rsidRPr="00B4524A" w:rsidRDefault="00B4524A" w:rsidP="00B4524A">
      <w:pPr>
        <w:widowControl w:val="0"/>
        <w:numPr>
          <w:ilvl w:val="1"/>
          <w:numId w:val="9"/>
        </w:numPr>
        <w:tabs>
          <w:tab w:val="left" w:pos="50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Виконавець надає послуги до </w:t>
      </w:r>
      <w:r w:rsidR="00536532">
        <w:rPr>
          <w:rFonts w:ascii="Times New Roman" w:eastAsia="Calibri" w:hAnsi="Times New Roman" w:cs="Times New Roman"/>
          <w:sz w:val="24"/>
          <w:szCs w:val="24"/>
          <w:lang w:eastAsia="ru-RU"/>
        </w:rPr>
        <w:t>31.12.</w:t>
      </w:r>
      <w:bookmarkStart w:id="0" w:name="_GoBack"/>
      <w:bookmarkEnd w:id="0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2024 р.</w:t>
      </w:r>
    </w:p>
    <w:p w:rsidR="00B4524A" w:rsidRPr="00B4524A" w:rsidRDefault="00B4524A" w:rsidP="00B4524A">
      <w:pPr>
        <w:widowControl w:val="0"/>
        <w:numPr>
          <w:ilvl w:val="1"/>
          <w:numId w:val="9"/>
        </w:numPr>
        <w:tabs>
          <w:tab w:val="left" w:pos="51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Протягом одного робочого дня з моменту надання послуг(робіт) Сторони підписують Акт виконаних робіт. Акти готуються Виконавцем та передаються на підпис Замовнику. Замовник, відповідно, повинен в той же день підписати і повернути Виконавцю Акт, або в той же день надати Виконавцю письмову вмотивовану відмову від підписання Акту у разі виявлення недоліків. Якщо Замовник не підписав надані Виконавцем Акти або у строк не 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надав Виконавцю письмову вмотивовану відмову від їх підписання, сторони будуть вважати, що Замовник прийняв роботи та підписав Акти без зауважень.</w:t>
      </w:r>
    </w:p>
    <w:p w:rsidR="00B4524A" w:rsidRPr="00B4524A" w:rsidRDefault="00B4524A" w:rsidP="00B4524A">
      <w:pPr>
        <w:widowControl w:val="0"/>
        <w:numPr>
          <w:ilvl w:val="1"/>
          <w:numId w:val="9"/>
        </w:numPr>
        <w:tabs>
          <w:tab w:val="left" w:pos="5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В разі надання Виконавцю письмової вмотивованої відмови від підписання Акту, що стосується виявлення недоліків, такі зауваження повинні бути розглянуті протягом 5 робочих днів, а недоліки усунуті за кошт Виконавця протягом десяти робочих днів з моменту визнання таких недоліків.</w:t>
      </w:r>
    </w:p>
    <w:p w:rsidR="00B4524A" w:rsidRPr="00B4524A" w:rsidRDefault="00B4524A" w:rsidP="00B4524A">
      <w:pPr>
        <w:widowControl w:val="0"/>
        <w:tabs>
          <w:tab w:val="left" w:pos="5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24A" w:rsidRPr="00B4524A" w:rsidRDefault="00B4524A" w:rsidP="00B4524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V. ПРАВА </w:t>
      </w:r>
      <w:r w:rsidRPr="00B452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</w:t>
      </w: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ОБОВ'ЯЗКИ СТОРІН</w:t>
      </w:r>
    </w:p>
    <w:p w:rsidR="00B4524A" w:rsidRPr="00B4524A" w:rsidRDefault="00B4524A" w:rsidP="00B4524A">
      <w:pPr>
        <w:keepNext/>
        <w:keepLines/>
        <w:tabs>
          <w:tab w:val="left" w:pos="544"/>
        </w:tabs>
        <w:suppressAutoHyphens/>
        <w:spacing w:after="0" w:line="259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5.1. Виконавець зобов’язаний:</w:t>
      </w:r>
    </w:p>
    <w:p w:rsidR="00B4524A" w:rsidRPr="00B4524A" w:rsidRDefault="00B4524A" w:rsidP="00B4524A">
      <w:pPr>
        <w:widowControl w:val="0"/>
        <w:numPr>
          <w:ilvl w:val="2"/>
          <w:numId w:val="4"/>
        </w:numPr>
        <w:tabs>
          <w:tab w:val="left" w:pos="7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Надати послуги в строк та на умовах, передбачених цим Договором.</w:t>
      </w:r>
    </w:p>
    <w:p w:rsidR="00B4524A" w:rsidRPr="00B4524A" w:rsidRDefault="00B4524A" w:rsidP="00B4524A">
      <w:pPr>
        <w:keepNext/>
        <w:keepLines/>
        <w:tabs>
          <w:tab w:val="left" w:pos="544"/>
        </w:tabs>
        <w:suppressAutoHyphens/>
        <w:spacing w:after="0" w:line="259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5.2. Виконавець має право:</w:t>
      </w:r>
    </w:p>
    <w:p w:rsidR="00B4524A" w:rsidRPr="00B4524A" w:rsidRDefault="00B4524A" w:rsidP="00B4524A">
      <w:pPr>
        <w:widowControl w:val="0"/>
        <w:numPr>
          <w:ilvl w:val="2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Своєчасно та в повному обсязі отримувати необхідну інформацію з питань оплати та виконання умов Договору.</w:t>
      </w:r>
    </w:p>
    <w:p w:rsidR="00B4524A" w:rsidRPr="00B4524A" w:rsidRDefault="00B4524A" w:rsidP="00B4524A">
      <w:pPr>
        <w:widowControl w:val="0"/>
        <w:numPr>
          <w:ilvl w:val="2"/>
          <w:numId w:val="5"/>
        </w:numPr>
        <w:tabs>
          <w:tab w:val="left" w:pos="7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На дострокове надання послуг (робіт).</w:t>
      </w:r>
    </w:p>
    <w:p w:rsidR="00B4524A" w:rsidRPr="00B4524A" w:rsidRDefault="00B4524A" w:rsidP="00B4524A">
      <w:pPr>
        <w:keepNext/>
        <w:keepLines/>
        <w:widowControl w:val="0"/>
        <w:numPr>
          <w:ilvl w:val="1"/>
          <w:numId w:val="3"/>
        </w:numPr>
        <w:tabs>
          <w:tab w:val="left" w:pos="544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Замовник зобов’язаний: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7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Своєчасно та в повному обсязі здійснювати оплату відповідно до умов цього Договору.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7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Прийняти послуги(роботи) відповідно до Акту.</w:t>
      </w:r>
    </w:p>
    <w:p w:rsidR="00B4524A" w:rsidRPr="00B4524A" w:rsidRDefault="00B4524A" w:rsidP="00B4524A">
      <w:pPr>
        <w:keepNext/>
        <w:keepLines/>
        <w:widowControl w:val="0"/>
        <w:numPr>
          <w:ilvl w:val="1"/>
          <w:numId w:val="3"/>
        </w:numPr>
        <w:tabs>
          <w:tab w:val="left" w:pos="544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Замовник має право: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7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Контролювати процес надання послуг(робіт) згідно з цим Договором.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7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На здійснення дострокової оплати за надані Послуги.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разі невиконання зобов’язань Виконавцем, Замовник має право достроково розірвати цей Договір повідомивши письмово про це Виконавця у строк до </w:t>
      </w:r>
      <w:r w:rsidRPr="00B45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30 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календарних днів.</w:t>
      </w:r>
    </w:p>
    <w:p w:rsidR="00B4524A" w:rsidRPr="00B4524A" w:rsidRDefault="00B4524A" w:rsidP="00B4524A">
      <w:pPr>
        <w:keepNext/>
        <w:keepLines/>
        <w:widowControl w:val="0"/>
        <w:numPr>
          <w:ilvl w:val="1"/>
          <w:numId w:val="3"/>
        </w:numPr>
        <w:tabs>
          <w:tab w:val="left" w:pos="544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Сторони мають право: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Вимагати та отримувати від іншої сторони інформацію та документи, необхідні для виконання своїх зобов’язань, обумовлених даним Договором.</w:t>
      </w:r>
    </w:p>
    <w:p w:rsidR="00B4524A" w:rsidRPr="00B4524A" w:rsidRDefault="00B4524A" w:rsidP="00B4524A">
      <w:pPr>
        <w:widowControl w:val="0"/>
        <w:numPr>
          <w:ilvl w:val="2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Вимагати та отримувати інформацію про хід та стан виконання іншою Стороною обов’язків по даному Договору.</w:t>
      </w:r>
    </w:p>
    <w:p w:rsidR="00B4524A" w:rsidRPr="00B4524A" w:rsidRDefault="00B4524A" w:rsidP="00B4524A">
      <w:pPr>
        <w:keepNext/>
        <w:keepLines/>
        <w:suppressAutoHyphens/>
        <w:spacing w:after="160" w:line="259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ВІДПОВІДАЛЬНІСТЬ СТОРІН</w:t>
      </w:r>
    </w:p>
    <w:p w:rsidR="00B4524A" w:rsidRPr="00B4524A" w:rsidRDefault="00B4524A" w:rsidP="00B4524A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 відповідають за невиконання або неналежне виконання зобов'язань відповідно до законодавства України та умов Договору.</w:t>
      </w:r>
    </w:p>
    <w:p w:rsidR="00B4524A" w:rsidRPr="00B4524A" w:rsidRDefault="00B4524A" w:rsidP="00B4524A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випадку неналежного надання послуг(робіт) згідно до умов цього Договору, до Виконавця зможуть бути застосовані штрафні санкції в розмірі 0,1 відсотків від вартості послуг за цим Договором за кожний день прострочення, але не більше подвійної облікової ставки </w:t>
      </w:r>
      <w:r w:rsidRPr="00B45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НБУ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524A" w:rsidRPr="00B4524A" w:rsidRDefault="00B4524A" w:rsidP="00B4524A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неналежне проведення розрахунків за Договором, Замовник має сплатити Виконавцю штраф у розмірі 0,1 % від суми заборгованості за кожен робочий день прострочення оплати вартості Договору та за весь період прострочення, але не більше подвійної облікової ставки </w:t>
      </w:r>
      <w:r w:rsidRPr="00B452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 w:bidi="uk-UA"/>
        </w:rPr>
        <w:t>НБУ.</w:t>
      </w:r>
    </w:p>
    <w:p w:rsidR="00B4524A" w:rsidRPr="00B4524A" w:rsidRDefault="00B4524A" w:rsidP="00B4524A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За порушення Замовником порядку та/або строків підписання та/або повернення Виконавцю Актів або інших документів, - Виконавець має право нарахувати Замовнику договірну санкцію у розмірі 0,1% від вартості Договору за кожний робочий день прострочення та кожен факт такого порушення.</w:t>
      </w:r>
    </w:p>
    <w:p w:rsidR="00B4524A" w:rsidRPr="00B4524A" w:rsidRDefault="00B4524A" w:rsidP="00B4524A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Сплата неустойки (штрафу, пені) не звільняє сторони від виконання зобов'язання за Договором у натурі, якщо інше не передбачено Договором.</w:t>
      </w:r>
    </w:p>
    <w:p w:rsidR="00B4524A" w:rsidRPr="00B4524A" w:rsidRDefault="00B4524A" w:rsidP="00B4524A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Гарантійний термін на надані послуги/виконані роботи становить 6 місяців.</w:t>
      </w:r>
    </w:p>
    <w:p w:rsidR="00B4524A" w:rsidRPr="00B4524A" w:rsidRDefault="00B4524A" w:rsidP="00B4524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ФОРС-МАЖОР</w:t>
      </w:r>
    </w:p>
    <w:p w:rsidR="00B4524A" w:rsidRPr="00B4524A" w:rsidRDefault="00B4524A" w:rsidP="00B4524A">
      <w:pPr>
        <w:widowControl w:val="0"/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Жодна зі Сторін не буде нести відповідальності за невиконання чи неналежне виконання умов Договору, якщо такому невиконанню прямо перешкоджали обставини, що знаходяться поза сферою контролю не виконуючої Сторони, такі як: стихійні лиха, екстремальні погодні умови, пожежі, війни, страйки, військові дії, громадські заворушення, а також необмежені вищенаведеними подібні обставини (далі - обставини непереборної сили), про які Сторонам не було відомо до укладання даного Договору та на період починаючи з моменту оголошення не виконуючою Стороною про такі обставини.</w:t>
      </w:r>
    </w:p>
    <w:p w:rsidR="00B4524A" w:rsidRPr="00B4524A" w:rsidRDefault="00B4524A" w:rsidP="00B4524A">
      <w:pPr>
        <w:widowControl w:val="0"/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Сторона, що не виконує свої обов’язки через обставини непереборної сили, зобов'язана негайно, після настання таких обставин, повідомити іншу Сторону про це, а також зазначити припустимий строк дії таких обставин та можливі строки виконання обов'язків.</w:t>
      </w:r>
    </w:p>
    <w:p w:rsidR="00B4524A" w:rsidRPr="00B4524A" w:rsidRDefault="00B4524A" w:rsidP="00B4524A">
      <w:pPr>
        <w:widowControl w:val="0"/>
        <w:numPr>
          <w:ilvl w:val="1"/>
          <w:numId w:val="1"/>
        </w:numPr>
        <w:tabs>
          <w:tab w:val="left" w:pos="5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Обставини непереборної сили автоматично відкладають строк виконання зобов’язань за 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даним Договором на строк дії таких обставин. Якщо обставини непереборної сили тривають більше 6 (шести) місяців, то будь-яка зі Сторін може розірвати даний Договору по відношенню до невиконаних на даний момент робіт.</w:t>
      </w:r>
    </w:p>
    <w:p w:rsidR="00B4524A" w:rsidRPr="00B4524A" w:rsidRDefault="00B4524A" w:rsidP="00B4524A">
      <w:pPr>
        <w:widowControl w:val="0"/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Доказом існування обставин непереборної сили є підтвердження цих обставин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Торгово-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Промисловою Палатою України або іншим уповноваженим органом державної влади.</w:t>
      </w:r>
    </w:p>
    <w:p w:rsidR="00B4524A" w:rsidRPr="00B4524A" w:rsidRDefault="00B4524A" w:rsidP="00B4524A">
      <w:pPr>
        <w:widowControl w:val="0"/>
        <w:numPr>
          <w:ilvl w:val="0"/>
          <w:numId w:val="7"/>
        </w:numPr>
        <w:suppressAutoHyphens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ТЕРМІН ДІЇ ДОГОВОРУ</w:t>
      </w:r>
    </w:p>
    <w:p w:rsidR="00B4524A" w:rsidRPr="00B4524A" w:rsidRDefault="00B4524A" w:rsidP="00B4524A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Договір набирає чинності з моменту його підписання Сторонами і діє до 31.12.2024 року,  а в частині  гарантійних та фінансових зобов’язань – до повного виконання.</w:t>
      </w:r>
    </w:p>
    <w:p w:rsidR="00B4524A" w:rsidRPr="00B4524A" w:rsidRDefault="00B4524A" w:rsidP="00B4524A">
      <w:pPr>
        <w:widowControl w:val="0"/>
        <w:numPr>
          <w:ilvl w:val="1"/>
          <w:numId w:val="8"/>
        </w:numPr>
        <w:tabs>
          <w:tab w:val="left" w:pos="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Дія Договору може бути припинена достроково в таких випадках:</w:t>
      </w:r>
    </w:p>
    <w:p w:rsidR="00B4524A" w:rsidRPr="00B4524A" w:rsidRDefault="00B4524A" w:rsidP="00B4524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за взаємною згодою сторін;</w:t>
      </w:r>
    </w:p>
    <w:p w:rsidR="00B4524A" w:rsidRPr="00B4524A" w:rsidRDefault="00B4524A" w:rsidP="00B4524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у випадку, передбаченому п.7.3. даного Договору;</w:t>
      </w:r>
    </w:p>
    <w:p w:rsidR="00B4524A" w:rsidRPr="00B4524A" w:rsidRDefault="00B4524A" w:rsidP="00B4524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у випадку ліквідації або банкрутства однієї або обох Сторін;</w:t>
      </w:r>
    </w:p>
    <w:p w:rsidR="00B4524A" w:rsidRPr="00B4524A" w:rsidRDefault="00B4524A" w:rsidP="00B4524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в інших випадках, передбачених чинним законодавством.</w:t>
      </w:r>
    </w:p>
    <w:p w:rsidR="00B4524A" w:rsidRPr="00B4524A" w:rsidRDefault="00B4524A" w:rsidP="00B4524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ВИРІШЕННЯ СПОРІВ</w:t>
      </w:r>
    </w:p>
    <w:p w:rsidR="00B4524A" w:rsidRPr="00B4524A" w:rsidRDefault="00B4524A" w:rsidP="00B4524A">
      <w:pPr>
        <w:widowControl w:val="0"/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Спори, що виникають при виконанні цього Договору або пов'язані із ним, вирішуються Сторонами шляхом переговорів.</w:t>
      </w:r>
    </w:p>
    <w:p w:rsidR="00B4524A" w:rsidRPr="00B4524A" w:rsidRDefault="00B4524A" w:rsidP="00B4524A">
      <w:pPr>
        <w:widowControl w:val="0"/>
        <w:numPr>
          <w:ilvl w:val="1"/>
          <w:numId w:val="10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Якщо сторони не дійдуть згоди, спір передається на розгляд в судовому порядку та на умовах, визначених законодавством України.</w:t>
      </w:r>
    </w:p>
    <w:p w:rsidR="00B4524A" w:rsidRPr="00B4524A" w:rsidRDefault="00B4524A" w:rsidP="00B4524A">
      <w:pPr>
        <w:widowControl w:val="0"/>
        <w:numPr>
          <w:ilvl w:val="1"/>
          <w:numId w:val="10"/>
        </w:numPr>
        <w:tabs>
          <w:tab w:val="left" w:pos="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Усі претензії за цим Договором повинні будуть розглянуті протягом 10 робочих днів з моменту отримання претензії.</w:t>
      </w:r>
    </w:p>
    <w:p w:rsidR="00B4524A" w:rsidRPr="00B4524A" w:rsidRDefault="00B4524A" w:rsidP="00B4524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ЗАКЛЮЧНІ ПОЛОЖЕННЯ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Зміни та доповнення до цього Договору мають силу, якщо вони викладені у письмовій формі та підписані сторонами.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Про усі зміни в юридичній, фізичній адресі, номерах телефонів чи банківські реквізити Сторона зобов’язана письмово повідомити іншу сторону в триденний термін з моменту виникнення таких змін.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Даний Договір укладений українською мовою у двох примірниках, які мають однакову юридичну силу, - по одному примірнику для кожної із Сторін.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Права та обов’язки Сторін по цьому Договору не можуть бути передані третім особам, окрім прав та обов’язків Виконавця, які останній може передати своєму законному правонаступнику або представнику.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Будь-які зміни та доповнення до цього Договору є недійсними, поки вони не оформлені в письмовій формі та не підписані сторонами Договору.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Усі правовідносини, що виникають з цього Договору або пов'язані з ним, регулюються згідно з чинним законодавством України.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Закону України «Про захист персональних даних» від 01.06.2010 року № 2297-УІ Сторони надають одна одній дозвіл на обробку персональних даних та доступ до них уповноважених нате третіх осіб.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4524A" w:rsidRPr="00B4524A" w:rsidRDefault="00B4524A" w:rsidP="00B4524A">
      <w:pPr>
        <w:widowControl w:val="0"/>
        <w:numPr>
          <w:ilvl w:val="1"/>
          <w:numId w:val="1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Сторони засвідчують та гарантують, що будь-які персональні дані про будь-яку фізичну особу, які були або будуть передані Сторонам у зв’язку з виконанням або невиконанням цього договору, були отримані та знаходяться у користуванні сторони правомірно відповідно до вимог чинного законодавства України.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10.10. Істотними умовами цього договору про закупівлю є предмет (найменування, кількість, якість), ціна та строк дії договору про закупівлю.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−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оподаткування;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Platts</w:t>
      </w:r>
      <w:proofErr w:type="spellEnd"/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7) зміни умов у зв’язку із застосуванням положень частини шостої статті 41 Закону.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10.11 Сторони домовилися, що даний Договір, додатки, додаткові угоди, акти виконаних робіт (надання послуг), рахунки, акти звірки взаєморозрахунків, видаткові накладні та інші документи, укладання яких випливає з виконання умов даного Договору та пов’язані з ним можуть складатися в електронному вигляді – як електронні документи у розумінні Закону України «Про електронні документи та електронний документообіг». Сторони підписують вказані документи електронними цифровими підписами (ЕЦП) у сервісі M.E.Doc та/або інших сервісах. Сторони самостійно несуть відповідальність за достовірність накладених ними електронних цифрових підписів. Організатор надсилає вказані документи через програмне забезпечення M.E.Doc. Електронний та паперовий документ з усіма обов’язковими реквізитами є оригіналом та мають однакову юридичну силу.</w:t>
      </w:r>
    </w:p>
    <w:p w:rsidR="00B4524A" w:rsidRPr="00B4524A" w:rsidRDefault="00B4524A" w:rsidP="00B4524A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524A" w:rsidRPr="00B4524A" w:rsidRDefault="00B4524A" w:rsidP="00B4524A">
      <w:pPr>
        <w:suppressAutoHyphens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ХІ. ЮРИДИЧНІ АДРЕСИ, ПОШТОВІ ТА ПЛАТІЖНІ РЕКВІЗИТИ СТОРІН </w:t>
      </w:r>
    </w:p>
    <w:tbl>
      <w:tblPr>
        <w:tblpPr w:leftFromText="180" w:rightFromText="180" w:vertAnchor="text" w:horzAnchor="margin" w:tblpY="207"/>
        <w:tblW w:w="10728" w:type="dxa"/>
        <w:tblLayout w:type="fixed"/>
        <w:tblLook w:val="0000" w:firstRow="0" w:lastRow="0" w:firstColumn="0" w:lastColumn="0" w:noHBand="0" w:noVBand="0"/>
      </w:tblPr>
      <w:tblGrid>
        <w:gridCol w:w="5024"/>
        <w:gridCol w:w="5704"/>
      </w:tblGrid>
      <w:tr w:rsidR="00B4524A" w:rsidRPr="00B4524A" w:rsidTr="00AB214A">
        <w:trPr>
          <w:cantSplit/>
          <w:trHeight w:val="3828"/>
        </w:trPr>
        <w:tc>
          <w:tcPr>
            <w:tcW w:w="5024" w:type="dxa"/>
          </w:tcPr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</w:tcPr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524A" w:rsidRPr="00B4524A" w:rsidRDefault="00B4524A" w:rsidP="00B4524A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B4524A">
        <w:rPr>
          <w:rFonts w:ascii="Calibri" w:eastAsia="Calibri" w:hAnsi="Calibri" w:cs="Calibri"/>
          <w:lang w:eastAsia="ru-RU"/>
        </w:rPr>
        <w:br w:type="page"/>
      </w:r>
      <w:r w:rsidRPr="00B4524A">
        <w:rPr>
          <w:rFonts w:ascii="Times New Roman" w:eastAsia="Calibri" w:hAnsi="Times New Roman" w:cs="Times New Roman"/>
          <w:b/>
          <w:lang w:eastAsia="ru-RU"/>
        </w:rPr>
        <w:lastRenderedPageBreak/>
        <w:t>ДОДАТОК № 1</w:t>
      </w:r>
    </w:p>
    <w:p w:rsidR="00B4524A" w:rsidRPr="00B4524A" w:rsidRDefault="00B4524A" w:rsidP="00B4524A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 Договору № </w:t>
      </w:r>
      <w:r w:rsidRPr="00B4524A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B4524A" w:rsidRPr="00B4524A" w:rsidRDefault="00B4524A" w:rsidP="00B4524A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2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від «___» __________ 2024 р. </w:t>
      </w:r>
    </w:p>
    <w:p w:rsidR="00B4524A" w:rsidRPr="00B4524A" w:rsidRDefault="00B4524A" w:rsidP="00B4524A">
      <w:pPr>
        <w:suppressLineNumbers/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</w:rPr>
      </w:pPr>
      <w:r w:rsidRPr="00B4524A">
        <w:rPr>
          <w:rFonts w:ascii="Times New Roman" w:eastAsia="Calibri" w:hAnsi="Times New Roman" w:cs="Times New Roman"/>
          <w:b/>
        </w:rPr>
        <w:t>Технічна специфікація</w:t>
      </w:r>
    </w:p>
    <w:p w:rsidR="00B4524A" w:rsidRPr="00B4524A" w:rsidRDefault="00B4524A" w:rsidP="00B4524A">
      <w:pPr>
        <w:suppressLineNumbers/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</w:rPr>
      </w:pPr>
      <w:r w:rsidRPr="00B4524A">
        <w:rPr>
          <w:rFonts w:ascii="Times New Roman" w:eastAsia="Calibri" w:hAnsi="Times New Roman" w:cs="Times New Roman"/>
          <w:b/>
        </w:rPr>
        <w:t xml:space="preserve">на закупівлю послуг згідно CPV за ДК 021:2015 – 50420000-5 - Послуги з ремонту і технічного обслуговування медичного та хірургічного обладнання </w:t>
      </w: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74"/>
        <w:gridCol w:w="992"/>
        <w:gridCol w:w="681"/>
        <w:gridCol w:w="1445"/>
        <w:gridCol w:w="1276"/>
      </w:tblGrid>
      <w:tr w:rsidR="00B4524A" w:rsidRPr="00B4524A" w:rsidTr="00AB214A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ind w:left="-102" w:right="-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ind w:left="-80" w:right="-10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Од.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ind w:left="-80" w:right="-10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ind w:left="-100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Кіль-кість</w:t>
            </w:r>
            <w:proofErr w:type="spellEnd"/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ind w:left="-103" w:right="-14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Ціна грн. 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ind w:left="-103" w:right="-14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 ПДВ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Сума грн. 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</w:tr>
      <w:tr w:rsidR="00B4524A" w:rsidRPr="00B4524A" w:rsidTr="00AB214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Послуги з ремонту та технічного обслуговування </w:t>
            </w:r>
            <w:proofErr w:type="spellStart"/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Відеогастроскоп</w:t>
            </w:r>
            <w:proofErr w:type="spellEnd"/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Е</w:t>
            </w:r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G</w:t>
            </w:r>
            <w:r w:rsidRPr="00B4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-500, серійний номер №7283628633: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(Повна розборка прибору; 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Розпайка </w:t>
            </w:r>
            <w:proofErr w:type="spellStart"/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конектора</w:t>
            </w:r>
            <w:proofErr w:type="spellEnd"/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матриці;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Заміна матриці з каналами;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</w:t>
            </w:r>
            <w:proofErr w:type="spellStart"/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конектора</w:t>
            </w:r>
            <w:proofErr w:type="spellEnd"/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едоскопа</w:t>
            </w:r>
            <w:proofErr w:type="spellEnd"/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дистальної гуми; 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кутів;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Повна профілактика механічної частини; 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uk-UA"/>
              </w:rPr>
            </w:pPr>
            <w:r w:rsidRPr="00B4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Зборка прибору)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59" w:lineRule="auto"/>
              <w:ind w:left="-80" w:right="-10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lang w:eastAsia="ru-RU"/>
              </w:rPr>
              <w:t>послуга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4A" w:rsidRPr="00B4524A" w:rsidRDefault="00B4524A" w:rsidP="00B4524A">
            <w:pPr>
              <w:widowControl w:val="0"/>
              <w:suppressAutoHyphens/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4524A" w:rsidRPr="00B4524A" w:rsidTr="00AB214A">
        <w:trPr>
          <w:trHeight w:val="191"/>
        </w:trPr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tabs>
                <w:tab w:val="left" w:pos="1683"/>
              </w:tabs>
              <w:suppressAutoHyphens/>
              <w:spacing w:after="0" w:line="216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lang w:eastAsia="ru-RU"/>
              </w:rPr>
              <w:t>Всього без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4A" w:rsidRPr="00B4524A" w:rsidRDefault="00B4524A" w:rsidP="00B4524A">
            <w:pPr>
              <w:widowControl w:val="0"/>
              <w:tabs>
                <w:tab w:val="left" w:pos="1683"/>
              </w:tabs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4524A" w:rsidRPr="00B4524A" w:rsidTr="00AB214A">
        <w:trPr>
          <w:trHeight w:val="223"/>
        </w:trPr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tabs>
                <w:tab w:val="left" w:pos="1683"/>
              </w:tabs>
              <w:suppressAutoHyphens/>
              <w:spacing w:after="0" w:line="216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lang w:eastAsia="ru-RU"/>
              </w:rPr>
              <w:t>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4A" w:rsidRPr="00B4524A" w:rsidRDefault="00B4524A" w:rsidP="00B4524A">
            <w:pPr>
              <w:widowControl w:val="0"/>
              <w:tabs>
                <w:tab w:val="left" w:pos="1683"/>
              </w:tabs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B4524A" w:rsidRPr="00B4524A" w:rsidTr="00AB214A">
        <w:trPr>
          <w:trHeight w:val="270"/>
        </w:trPr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24A" w:rsidRPr="00B4524A" w:rsidRDefault="00B4524A" w:rsidP="00B4524A">
            <w:pPr>
              <w:widowControl w:val="0"/>
              <w:tabs>
                <w:tab w:val="left" w:pos="1683"/>
              </w:tabs>
              <w:suppressAutoHyphens/>
              <w:spacing w:after="0" w:line="216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524A">
              <w:rPr>
                <w:rFonts w:ascii="Times New Roman" w:eastAsia="Calibri" w:hAnsi="Times New Roman" w:cs="Times New Roman"/>
                <w:b/>
                <w:lang w:eastAsia="ru-RU"/>
              </w:rPr>
              <w:t>Сума з ПДВ: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4A" w:rsidRPr="00B4524A" w:rsidRDefault="00B4524A" w:rsidP="00B4524A">
            <w:pPr>
              <w:widowControl w:val="0"/>
              <w:tabs>
                <w:tab w:val="left" w:pos="1683"/>
              </w:tabs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07"/>
        <w:tblW w:w="10728" w:type="dxa"/>
        <w:tblLayout w:type="fixed"/>
        <w:tblLook w:val="0000" w:firstRow="0" w:lastRow="0" w:firstColumn="0" w:lastColumn="0" w:noHBand="0" w:noVBand="0"/>
      </w:tblPr>
      <w:tblGrid>
        <w:gridCol w:w="5024"/>
        <w:gridCol w:w="5704"/>
      </w:tblGrid>
      <w:tr w:rsidR="00B4524A" w:rsidRPr="00B4524A" w:rsidTr="00AB214A">
        <w:trPr>
          <w:cantSplit/>
          <w:trHeight w:val="3828"/>
        </w:trPr>
        <w:tc>
          <w:tcPr>
            <w:tcW w:w="5024" w:type="dxa"/>
          </w:tcPr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b/>
                <w:lang w:eastAsia="ru-RU"/>
              </w:rPr>
              <w:t>Замовник</w:t>
            </w:r>
          </w:p>
          <w:p w:rsidR="00B4524A" w:rsidRPr="00B4524A" w:rsidRDefault="00B4524A" w:rsidP="00B4524A">
            <w:pPr>
              <w:widowControl w:val="0"/>
              <w:tabs>
                <w:tab w:val="left" w:pos="1640"/>
                <w:tab w:val="center" w:pos="24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3" w:type="dxa"/>
          </w:tcPr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Виконавець</w:t>
            </w: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24A" w:rsidRPr="00B4524A" w:rsidRDefault="00B4524A" w:rsidP="00B452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2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4524A" w:rsidRPr="00B4524A" w:rsidRDefault="00B4524A" w:rsidP="00B4524A">
      <w:pPr>
        <w:suppressAutoHyphens/>
        <w:spacing w:after="160" w:line="259" w:lineRule="auto"/>
        <w:rPr>
          <w:rFonts w:ascii="Calibri" w:eastAsia="Calibri" w:hAnsi="Calibri" w:cs="Calibri"/>
          <w:lang w:eastAsia="ru-RU"/>
        </w:rPr>
      </w:pPr>
    </w:p>
    <w:p w:rsidR="00B4524A" w:rsidRPr="00B4524A" w:rsidRDefault="00B4524A" w:rsidP="00B4524A">
      <w:pPr>
        <w:widowControl w:val="0"/>
        <w:shd w:val="clear" w:color="auto" w:fill="FFFFFF"/>
        <w:suppressAutoHyphens/>
        <w:spacing w:after="0" w:line="240" w:lineRule="auto"/>
        <w:ind w:left="2270" w:right="2198"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824240" w:rsidRDefault="00824240"/>
    <w:sectPr w:rsidR="00824240" w:rsidSect="00467919">
      <w:footerReference w:type="default" r:id="rId8"/>
      <w:pgSz w:w="11906" w:h="16838"/>
      <w:pgMar w:top="567" w:right="566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0F" w:rsidRDefault="00F15D0F">
      <w:pPr>
        <w:spacing w:after="0" w:line="240" w:lineRule="auto"/>
      </w:pPr>
      <w:r>
        <w:separator/>
      </w:r>
    </w:p>
  </w:endnote>
  <w:endnote w:type="continuationSeparator" w:id="0">
    <w:p w:rsidR="00F15D0F" w:rsidRDefault="00F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9E" w:rsidRDefault="00B4524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36532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0F" w:rsidRDefault="00F15D0F">
      <w:pPr>
        <w:spacing w:after="0" w:line="240" w:lineRule="auto"/>
      </w:pPr>
      <w:r>
        <w:separator/>
      </w:r>
    </w:p>
  </w:footnote>
  <w:footnote w:type="continuationSeparator" w:id="0">
    <w:p w:rsidR="00F15D0F" w:rsidRDefault="00F1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D43"/>
    <w:multiLevelType w:val="multilevel"/>
    <w:tmpl w:val="47A4B6E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28D76870"/>
    <w:multiLevelType w:val="multilevel"/>
    <w:tmpl w:val="9C260B8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32CA19D7"/>
    <w:multiLevelType w:val="multilevel"/>
    <w:tmpl w:val="22C42D4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420D2CFF"/>
    <w:multiLevelType w:val="multilevel"/>
    <w:tmpl w:val="C562C5F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4C1D2989"/>
    <w:multiLevelType w:val="multilevel"/>
    <w:tmpl w:val="3AE0248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EC3614B"/>
    <w:multiLevelType w:val="multilevel"/>
    <w:tmpl w:val="8674B0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53FC3402"/>
    <w:multiLevelType w:val="multilevel"/>
    <w:tmpl w:val="F7308534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5E5A6C35"/>
    <w:multiLevelType w:val="multilevel"/>
    <w:tmpl w:val="F5E8590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698F52D0"/>
    <w:multiLevelType w:val="multilevel"/>
    <w:tmpl w:val="7A3CF590"/>
    <w:lvl w:ilvl="0">
      <w:start w:val="4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7B5C4242"/>
    <w:multiLevelType w:val="multilevel"/>
    <w:tmpl w:val="660087F0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E850E07"/>
    <w:multiLevelType w:val="multilevel"/>
    <w:tmpl w:val="B3C88DE8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E3"/>
    <w:rsid w:val="00536532"/>
    <w:rsid w:val="00824240"/>
    <w:rsid w:val="00B23BB6"/>
    <w:rsid w:val="00B4524A"/>
    <w:rsid w:val="00E039FA"/>
    <w:rsid w:val="00F15D0F"/>
    <w:rsid w:val="00F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8744</Words>
  <Characters>4985</Characters>
  <Application>Microsoft Office Word</Application>
  <DocSecurity>0</DocSecurity>
  <Lines>41</Lines>
  <Paragraphs>27</Paragraphs>
  <ScaleCrop>false</ScaleCrop>
  <Company>*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2024-03-11T12:11:00Z</dcterms:created>
  <dcterms:modified xsi:type="dcterms:W3CDTF">2024-03-11T12:43:00Z</dcterms:modified>
</cp:coreProperties>
</file>