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BC331C" w:rsidP="00352C8C">
      <w:pPr>
        <w:pStyle w:val="a3"/>
        <w:ind w:firstLine="284"/>
        <w:jc w:val="right"/>
        <w:rPr>
          <w:rFonts w:ascii="Times New Roman" w:hAnsi="Times New Roman"/>
          <w:b/>
          <w:sz w:val="24"/>
          <w:szCs w:val="24"/>
        </w:rPr>
      </w:pPr>
      <w:r>
        <w:rPr>
          <w:rFonts w:ascii="Times New Roman" w:hAnsi="Times New Roman"/>
          <w:b/>
          <w:sz w:val="24"/>
          <w:szCs w:val="24"/>
        </w:rPr>
        <w:t>Додаток №</w:t>
      </w:r>
      <w:r w:rsidR="00FE5373">
        <w:rPr>
          <w:rFonts w:ascii="Times New Roman" w:hAnsi="Times New Roman"/>
          <w:b/>
          <w:sz w:val="24"/>
          <w:szCs w:val="24"/>
          <w:lang w:val="ru-RU"/>
        </w:rPr>
        <w:t>5</w:t>
      </w:r>
      <w:r w:rsidR="00E7414E" w:rsidRPr="00DC3B80">
        <w:rPr>
          <w:rFonts w:ascii="Times New Roman" w:hAnsi="Times New Roman"/>
          <w:b/>
          <w:sz w:val="24"/>
          <w:szCs w:val="24"/>
        </w:rPr>
        <w:t xml:space="preserve"> до </w:t>
      </w:r>
      <w:r w:rsidR="00292B82">
        <w:rPr>
          <w:rFonts w:ascii="Times New Roman" w:hAnsi="Times New Roman"/>
          <w:b/>
          <w:sz w:val="24"/>
          <w:szCs w:val="24"/>
        </w:rPr>
        <w:t>ТД</w:t>
      </w:r>
    </w:p>
    <w:p w:rsidR="00352C8C" w:rsidRPr="00DC3B80" w:rsidRDefault="00352C8C" w:rsidP="00352C8C">
      <w:pPr>
        <w:pStyle w:val="a3"/>
        <w:ind w:firstLine="284"/>
        <w:jc w:val="right"/>
        <w:rPr>
          <w:rFonts w:ascii="Times New Roman" w:hAnsi="Times New Roman"/>
          <w:b/>
          <w:sz w:val="24"/>
          <w:szCs w:val="24"/>
        </w:rPr>
      </w:pPr>
    </w:p>
    <w:p w:rsidR="00E7414E" w:rsidRDefault="00E7414E" w:rsidP="00352C8C">
      <w:pPr>
        <w:pStyle w:val="a3"/>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 xml:space="preserve">ктора </w:t>
      </w:r>
      <w:proofErr w:type="spellStart"/>
      <w:r w:rsidR="004A6B92" w:rsidRPr="002F15B1">
        <w:rPr>
          <w:rFonts w:ascii="Times New Roman" w:hAnsi="Times New Roman"/>
          <w:color w:val="000000"/>
          <w:sz w:val="24"/>
          <w:szCs w:val="24"/>
          <w:lang w:val="uk-UA"/>
        </w:rPr>
        <w:t>Бельца</w:t>
      </w:r>
      <w:proofErr w:type="spellEnd"/>
      <w:r w:rsidR="004A6B92" w:rsidRPr="002F15B1">
        <w:rPr>
          <w:rFonts w:ascii="Times New Roman" w:hAnsi="Times New Roman"/>
          <w:color w:val="000000"/>
          <w:sz w:val="24"/>
          <w:szCs w:val="24"/>
          <w:lang w:val="uk-UA"/>
        </w:rPr>
        <w:t xml:space="preserve">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2B82" w:rsidRPr="002F15B1">
        <w:rPr>
          <w:rFonts w:ascii="Times New Roman" w:eastAsia="Calibri" w:hAnsi="Times New Roman"/>
          <w:color w:val="000000"/>
          <w:sz w:val="24"/>
          <w:szCs w:val="24"/>
          <w:lang w:val="uk-UA"/>
        </w:rPr>
        <w:t>“Про</w:t>
      </w:r>
      <w:proofErr w:type="spellEnd"/>
      <w:r w:rsidR="00292B82" w:rsidRPr="002F15B1">
        <w:rPr>
          <w:rFonts w:ascii="Times New Roman" w:eastAsia="Calibri" w:hAnsi="Times New Roman"/>
          <w:color w:val="000000"/>
          <w:sz w:val="24"/>
          <w:szCs w:val="24"/>
          <w:lang w:val="uk-UA"/>
        </w:rPr>
        <w:t xml:space="preserve"> публічні </w:t>
      </w:r>
      <w:proofErr w:type="spellStart"/>
      <w:r w:rsidR="00292B82" w:rsidRPr="002F15B1">
        <w:rPr>
          <w:rFonts w:ascii="Times New Roman" w:eastAsia="Calibri" w:hAnsi="Times New Roman"/>
          <w:color w:val="000000"/>
          <w:sz w:val="24"/>
          <w:szCs w:val="24"/>
          <w:lang w:val="uk-UA"/>
        </w:rPr>
        <w:t>закупівлі”</w:t>
      </w:r>
      <w:proofErr w:type="spellEnd"/>
      <w:r w:rsidR="00292B82" w:rsidRPr="002F15B1">
        <w:rPr>
          <w:rFonts w:ascii="Times New Roman" w:eastAsia="Calibri"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6470E6">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9967B2">
        <w:rPr>
          <w:rFonts w:ascii="Times New Roman" w:hAnsi="Times New Roman"/>
          <w:color w:val="000000"/>
          <w:sz w:val="24"/>
          <w:szCs w:val="24"/>
          <w:lang w:val="uk-UA"/>
        </w:rPr>
        <w:t>:</w:t>
      </w:r>
      <w:r w:rsidR="007A642C">
        <w:rPr>
          <w:rFonts w:ascii="Times New Roman" w:hAnsi="Times New Roman"/>
          <w:sz w:val="24"/>
          <w:szCs w:val="24"/>
          <w:lang w:val="uk-UA" w:eastAsia="uk-UA"/>
        </w:rPr>
        <w:t xml:space="preserve"> </w:t>
      </w:r>
      <w:r w:rsidR="00FE5373" w:rsidRPr="00FE5373">
        <w:rPr>
          <w:rFonts w:ascii="Times New Roman" w:hAnsi="Times New Roman"/>
          <w:sz w:val="24"/>
          <w:szCs w:val="24"/>
          <w:lang w:val="uk-UA"/>
        </w:rPr>
        <w:t xml:space="preserve">______________________________________________________________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E5373" w:rsidRDefault="00A00CAA" w:rsidP="00A00CAA">
      <w:pPr>
        <w:numPr>
          <w:ilvl w:val="1"/>
          <w:numId w:val="17"/>
        </w:numPr>
        <w:spacing w:after="0" w:line="240" w:lineRule="auto"/>
        <w:ind w:firstLine="349"/>
        <w:jc w:val="both"/>
        <w:rPr>
          <w:rFonts w:ascii="Times New Roman" w:hAnsi="Times New Roman"/>
          <w:sz w:val="24"/>
          <w:szCs w:val="24"/>
          <w:lang w:val="uk-UA"/>
        </w:rPr>
      </w:pPr>
      <w:r>
        <w:rPr>
          <w:rFonts w:ascii="Times New Roman" w:hAnsi="Times New Roman"/>
          <w:sz w:val="24"/>
          <w:szCs w:val="24"/>
          <w:lang w:val="uk-UA"/>
        </w:rPr>
        <w:t>Т</w:t>
      </w:r>
      <w:r w:rsidR="00E14861" w:rsidRPr="00E14861">
        <w:rPr>
          <w:rFonts w:ascii="Times New Roman" w:hAnsi="Times New Roman"/>
          <w:sz w:val="24"/>
          <w:szCs w:val="24"/>
          <w:lang w:val="uk-UA"/>
        </w:rPr>
        <w:t xml:space="preserve">ермін </w:t>
      </w:r>
      <w:r w:rsidR="00FE5373" w:rsidRPr="00FE5373">
        <w:rPr>
          <w:rFonts w:ascii="Times New Roman" w:hAnsi="Times New Roman"/>
          <w:sz w:val="24"/>
          <w:szCs w:val="24"/>
          <w:lang w:val="uk-UA"/>
        </w:rPr>
        <w:t xml:space="preserve">придатності Товару при отриманні Товару повинен становити не менше 80% від </w:t>
      </w:r>
    </w:p>
    <w:p w:rsidR="00373582" w:rsidRPr="00FE5373" w:rsidRDefault="00FE5373" w:rsidP="00FE5373">
      <w:pPr>
        <w:spacing w:after="0" w:line="240" w:lineRule="auto"/>
        <w:jc w:val="both"/>
        <w:rPr>
          <w:rFonts w:ascii="Times New Roman" w:hAnsi="Times New Roman"/>
          <w:sz w:val="24"/>
          <w:szCs w:val="24"/>
          <w:lang w:val="uk-UA"/>
        </w:rPr>
      </w:pPr>
      <w:r w:rsidRPr="00FE5373">
        <w:rPr>
          <w:rFonts w:ascii="Times New Roman" w:hAnsi="Times New Roman"/>
          <w:sz w:val="24"/>
          <w:szCs w:val="24"/>
          <w:lang w:val="uk-UA"/>
        </w:rPr>
        <w:t>загального терміну придатності</w:t>
      </w:r>
      <w:r>
        <w:rPr>
          <w:rFonts w:ascii="Times New Roman" w:hAnsi="Times New Roman"/>
          <w:sz w:val="24"/>
          <w:szCs w:val="24"/>
          <w:lang w:val="uk-UA"/>
        </w:rPr>
        <w:t>.</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lastRenderedPageBreak/>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A81582">
        <w:rPr>
          <w:rFonts w:ascii="Times New Roman" w:hAnsi="Times New Roman"/>
          <w:sz w:val="24"/>
          <w:szCs w:val="24"/>
          <w:lang w:val="uk-UA"/>
        </w:rPr>
        <w:t xml:space="preserve">31 </w:t>
      </w:r>
      <w:r w:rsidR="006470E6">
        <w:rPr>
          <w:rFonts w:ascii="Times New Roman" w:hAnsi="Times New Roman"/>
          <w:sz w:val="24"/>
          <w:szCs w:val="24"/>
          <w:lang w:val="uk-UA"/>
        </w:rPr>
        <w:t xml:space="preserve">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Pr>
          <w:rStyle w:val="20"/>
          <w:rFonts w:ascii="Times New Roman" w:hAnsi="Times New Roman"/>
          <w:b w:val="0"/>
          <w:i w:val="0"/>
          <w:sz w:val="24"/>
          <w:szCs w:val="24"/>
          <w:lang w:val="uk-UA"/>
        </w:rPr>
        <w:t xml:space="preserve"> (включно)</w:t>
      </w:r>
      <w:r w:rsidRPr="007674D4">
        <w:rPr>
          <w:rStyle w:val="20"/>
          <w:rFonts w:ascii="Times New Roman" w:hAnsi="Times New Roman"/>
          <w:b w:val="0"/>
          <w:i w:val="0"/>
          <w:sz w:val="24"/>
          <w:szCs w:val="24"/>
        </w:rPr>
        <w:t>,</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w:t>
      </w:r>
      <w:proofErr w:type="spellStart"/>
      <w:r w:rsidR="00EA7B8D">
        <w:rPr>
          <w:rFonts w:ascii="Times New Roman" w:hAnsi="Times New Roman"/>
          <w:color w:val="000000"/>
          <w:sz w:val="24"/>
          <w:szCs w:val="24"/>
          <w:lang w:val="uk-UA" w:eastAsia="uk-UA"/>
        </w:rPr>
        <w:t>товаросупровідну</w:t>
      </w:r>
      <w:proofErr w:type="spellEnd"/>
      <w:r w:rsidR="00EA7B8D">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551A03" w:rsidRDefault="004C3982" w:rsidP="00551A0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w:t>
      </w:r>
      <w:r w:rsidR="00551A03" w:rsidRPr="00DF667F">
        <w:rPr>
          <w:rFonts w:ascii="Times New Roman" w:hAnsi="Times New Roman"/>
          <w:color w:val="000000"/>
          <w:sz w:val="24"/>
          <w:szCs w:val="24"/>
          <w:lang w:val="uk-UA" w:eastAsia="uk-UA"/>
        </w:rPr>
        <w:t xml:space="preserve">є </w:t>
      </w:r>
      <w:r w:rsidR="00DF667F" w:rsidRPr="00DF667F">
        <w:rPr>
          <w:rFonts w:ascii="Times New Roman" w:hAnsi="Times New Roman"/>
          <w:color w:val="000000"/>
          <w:sz w:val="24"/>
          <w:szCs w:val="24"/>
          <w:lang w:val="uk-UA" w:eastAsia="uk-UA"/>
        </w:rPr>
        <w:t xml:space="preserve">завідувачка </w:t>
      </w:r>
      <w:r w:rsidR="00DF667F" w:rsidRPr="00DF667F">
        <w:rPr>
          <w:rFonts w:ascii="Times New Roman" w:hAnsi="Times New Roman"/>
          <w:sz w:val="24"/>
          <w:szCs w:val="24"/>
          <w:lang w:val="uk-UA"/>
        </w:rPr>
        <w:t xml:space="preserve">клініко-діагностичної лабораторії </w:t>
      </w:r>
      <w:r w:rsidR="00DF667F" w:rsidRPr="00DF667F">
        <w:rPr>
          <w:rFonts w:ascii="Times New Roman" w:hAnsi="Times New Roman"/>
          <w:color w:val="000000"/>
          <w:sz w:val="24"/>
          <w:szCs w:val="24"/>
          <w:lang w:val="uk-UA"/>
        </w:rPr>
        <w:t>КОМУНАЛЬНОГО НЕКОМЕРЦІЙНОГО ПІДПРИЄМСТВА "ЦЕНТР ПЕРВИННОЇ МЕДИКО-САНІТАРНОЇ ДОПОМОГИ №3 М. ВІННИЦІ</w:t>
      </w:r>
      <w:r w:rsidR="00DF667F">
        <w:rPr>
          <w:rFonts w:ascii="Times New Roman" w:hAnsi="Times New Roman"/>
          <w:color w:val="000000"/>
          <w:sz w:val="24"/>
          <w:szCs w:val="24"/>
          <w:lang w:val="uk-UA"/>
        </w:rPr>
        <w:t xml:space="preserve">» є </w:t>
      </w:r>
      <w:r w:rsidR="00DF667F">
        <w:rPr>
          <w:rFonts w:ascii="Times New Roman" w:hAnsi="Times New Roman"/>
          <w:color w:val="000000"/>
          <w:sz w:val="24"/>
          <w:szCs w:val="24"/>
          <w:lang w:val="uk-UA" w:eastAsia="uk-UA"/>
        </w:rPr>
        <w:t xml:space="preserve">Бурко Людмила </w:t>
      </w:r>
      <w:r w:rsidR="00E04415">
        <w:rPr>
          <w:rFonts w:ascii="Times New Roman" w:hAnsi="Times New Roman"/>
          <w:color w:val="000000"/>
          <w:sz w:val="24"/>
          <w:szCs w:val="24"/>
          <w:lang w:val="uk-UA" w:eastAsia="uk-UA"/>
        </w:rPr>
        <w:t>Миколаївна.</w:t>
      </w:r>
    </w:p>
    <w:p w:rsidR="00157458" w:rsidRDefault="00157458" w:rsidP="00551A03">
      <w:pPr>
        <w:spacing w:after="0" w:line="240" w:lineRule="auto"/>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lastRenderedPageBreak/>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 xml:space="preserve">.5.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w:t>
      </w:r>
      <w:r w:rsidRPr="00B922D0">
        <w:rPr>
          <w:rFonts w:ascii="Times New Roman" w:hAnsi="Times New Roman"/>
          <w:sz w:val="24"/>
          <w:szCs w:val="24"/>
          <w:lang w:val="uk-UA"/>
        </w:rPr>
        <w:lastRenderedPageBreak/>
        <w:t>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0D4F18" w:rsidRDefault="00927D3C" w:rsidP="00E04415">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6470E6" w:rsidRDefault="006470E6" w:rsidP="00E04415">
      <w:pPr>
        <w:spacing w:after="0" w:line="240" w:lineRule="auto"/>
        <w:ind w:firstLine="709"/>
        <w:jc w:val="both"/>
        <w:rPr>
          <w:rFonts w:ascii="Times New Roman" w:hAnsi="Times New Roman"/>
          <w:color w:val="000000"/>
          <w:sz w:val="24"/>
          <w:szCs w:val="24"/>
          <w:lang w:val="uk-UA"/>
        </w:rPr>
      </w:pPr>
    </w:p>
    <w:p w:rsidR="006470E6" w:rsidRPr="00E04415" w:rsidRDefault="006470E6" w:rsidP="00E04415">
      <w:pPr>
        <w:spacing w:after="0" w:line="240" w:lineRule="auto"/>
        <w:ind w:firstLine="709"/>
        <w:jc w:val="both"/>
        <w:rPr>
          <w:rFonts w:ascii="Times New Roman" w:hAnsi="Times New Roman"/>
          <w:color w:val="000000"/>
          <w:sz w:val="24"/>
          <w:szCs w:val="24"/>
          <w:lang w:val="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927D3C"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FE5373" w:rsidRPr="003275C8" w:rsidRDefault="000D4F18" w:rsidP="00FE5373">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FE5373" w:rsidRPr="003275C8">
              <w:rPr>
                <w:rFonts w:ascii="Times New Roman" w:hAnsi="Times New Roman"/>
                <w:color w:val="000000"/>
                <w:sz w:val="24"/>
                <w:szCs w:val="24"/>
                <w:lang w:val="en-US"/>
              </w:rPr>
              <w:t>UA</w:t>
            </w:r>
            <w:r w:rsidR="00FE5373" w:rsidRPr="003275C8">
              <w:rPr>
                <w:rFonts w:ascii="Times New Roman" w:hAnsi="Times New Roman"/>
                <w:color w:val="000000"/>
                <w:sz w:val="24"/>
                <w:szCs w:val="24"/>
              </w:rPr>
              <w:t xml:space="preserve"> 41 320478 00000 26003924440381</w:t>
            </w:r>
          </w:p>
          <w:p w:rsidR="000D4F18" w:rsidRPr="00C25383" w:rsidRDefault="00FE5373" w:rsidP="00FE5373">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640509" w:rsidRDefault="00640509" w:rsidP="00A81582">
      <w:pPr>
        <w:spacing w:after="0" w:line="240" w:lineRule="auto"/>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E04415">
      <w:pPr>
        <w:spacing w:after="0" w:line="240" w:lineRule="auto"/>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proofErr w:type="spellStart"/>
                  <w:r w:rsidRPr="00A9397E">
                    <w:rPr>
                      <w:rFonts w:ascii="Times New Roman" w:hAnsi="Times New Roman"/>
                      <w:b/>
                      <w:bCs/>
                      <w:sz w:val="24"/>
                      <w:szCs w:val="24"/>
                    </w:rPr>
                    <w:t>Найменування</w:t>
                  </w:r>
                  <w:proofErr w:type="spellEnd"/>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FE5373" w:rsidRPr="003275C8" w:rsidRDefault="00C25383" w:rsidP="00FE537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FE5373" w:rsidRPr="003275C8">
              <w:rPr>
                <w:rFonts w:ascii="Times New Roman" w:hAnsi="Times New Roman"/>
                <w:color w:val="000000"/>
                <w:sz w:val="24"/>
                <w:szCs w:val="24"/>
                <w:lang w:val="en-US"/>
              </w:rPr>
              <w:t>UA</w:t>
            </w:r>
            <w:r w:rsidR="00FE5373" w:rsidRPr="003275C8">
              <w:rPr>
                <w:rFonts w:ascii="Times New Roman" w:hAnsi="Times New Roman"/>
                <w:color w:val="000000"/>
                <w:sz w:val="24"/>
                <w:szCs w:val="24"/>
              </w:rPr>
              <w:t xml:space="preserve"> 41 320478 00000 26003924440381</w:t>
            </w:r>
          </w:p>
          <w:p w:rsidR="00C25383" w:rsidRPr="00C25383" w:rsidRDefault="00FE5373" w:rsidP="00FE5373">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FE5373" w:rsidRPr="003275C8" w:rsidRDefault="00C25383" w:rsidP="00FE537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FE5373" w:rsidRPr="003275C8">
              <w:rPr>
                <w:rFonts w:ascii="Times New Roman" w:hAnsi="Times New Roman"/>
                <w:color w:val="000000"/>
                <w:sz w:val="24"/>
                <w:szCs w:val="24"/>
                <w:lang w:val="en-US"/>
              </w:rPr>
              <w:t>UA</w:t>
            </w:r>
            <w:r w:rsidR="00FE5373" w:rsidRPr="003275C8">
              <w:rPr>
                <w:rFonts w:ascii="Times New Roman" w:hAnsi="Times New Roman"/>
                <w:color w:val="000000"/>
                <w:sz w:val="24"/>
                <w:szCs w:val="24"/>
              </w:rPr>
              <w:t xml:space="preserve"> 41 320478 00000 26003924440381</w:t>
            </w:r>
          </w:p>
          <w:p w:rsidR="00C25383" w:rsidRPr="00C25383" w:rsidRDefault="00FE5373" w:rsidP="00FE5373">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FE5373" w:rsidRDefault="00FE5373" w:rsidP="00FE5373">
      <w:pPr>
        <w:pStyle w:val="a8"/>
        <w:spacing w:before="0" w:beforeAutospacing="0" w:after="0" w:afterAutospacing="0"/>
        <w:rPr>
          <w:b/>
          <w:bCs/>
          <w:i/>
          <w:sz w:val="22"/>
          <w:szCs w:val="22"/>
          <w:lang w:val="uk-UA"/>
        </w:rPr>
      </w:pPr>
    </w:p>
    <w:p w:rsidR="00E7414E" w:rsidRPr="00935C25" w:rsidRDefault="00E7414E" w:rsidP="00135D76">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E7414E" w:rsidRPr="00C561A7" w:rsidRDefault="00E7414E" w:rsidP="00C561A7">
      <w:pPr>
        <w:spacing w:line="240" w:lineRule="auto"/>
        <w:ind w:firstLine="709"/>
        <w:jc w:val="both"/>
        <w:rPr>
          <w:rFonts w:ascii="Times New Roman" w:hAnsi="Times New Roman"/>
          <w:i/>
          <w:lang w:val="uk-UA"/>
        </w:rPr>
      </w:pPr>
      <w:r w:rsidRPr="00935C25">
        <w:rPr>
          <w:rFonts w:ascii="Times New Roman" w:hAnsi="Times New Roman"/>
          <w:i/>
          <w:lang w:val="uk-UA"/>
        </w:rPr>
        <w:t xml:space="preserve">- </w:t>
      </w:r>
      <w:r w:rsidR="00901047">
        <w:rPr>
          <w:rFonts w:ascii="Times New Roman" w:hAnsi="Times New Roman"/>
          <w:bCs/>
          <w:i/>
          <w:lang w:val="uk-UA"/>
        </w:rPr>
        <w:t>п</w:t>
      </w:r>
      <w:r w:rsidRPr="00935C25">
        <w:rPr>
          <w:rFonts w:ascii="Times New Roman" w:hAnsi="Times New Roman"/>
          <w:bCs/>
          <w:i/>
          <w:lang w:val="uk-UA"/>
        </w:rPr>
        <w:t xml:space="preserve">ри заповненні </w:t>
      </w:r>
      <w:r w:rsidR="00702894">
        <w:rPr>
          <w:rFonts w:ascii="Times New Roman" w:hAnsi="Times New Roman"/>
          <w:bCs/>
          <w:i/>
          <w:lang w:val="uk-UA"/>
        </w:rPr>
        <w:t>У</w:t>
      </w:r>
      <w:r w:rsidR="00901047">
        <w:rPr>
          <w:rFonts w:ascii="Times New Roman" w:hAnsi="Times New Roman"/>
          <w:bCs/>
          <w:i/>
          <w:lang w:val="uk-UA"/>
        </w:rPr>
        <w:t xml:space="preserve">часниками процедури закупівлі </w:t>
      </w:r>
      <w:r>
        <w:rPr>
          <w:rFonts w:ascii="Times New Roman" w:hAnsi="Times New Roman"/>
          <w:bCs/>
          <w:i/>
          <w:lang w:val="uk-UA"/>
        </w:rPr>
        <w:t>проє</w:t>
      </w:r>
      <w:r w:rsidRPr="00935C25">
        <w:rPr>
          <w:rFonts w:ascii="Times New Roman" w:hAnsi="Times New Roman"/>
          <w:bCs/>
          <w:i/>
          <w:lang w:val="uk-UA"/>
        </w:rPr>
        <w:t>кту договору та додатків</w:t>
      </w:r>
      <w:r>
        <w:rPr>
          <w:rFonts w:ascii="Times New Roman" w:hAnsi="Times New Roman"/>
          <w:bCs/>
          <w:i/>
          <w:lang w:val="uk-UA"/>
        </w:rPr>
        <w:t xml:space="preserve"> до нього - </w:t>
      </w:r>
      <w:r w:rsidR="00FB4A99">
        <w:rPr>
          <w:rFonts w:ascii="Times New Roman" w:hAnsi="Times New Roman"/>
          <w:bCs/>
          <w:i/>
          <w:lang w:val="uk-UA"/>
        </w:rPr>
        <w:t xml:space="preserve">дата договору, </w:t>
      </w:r>
      <w:r w:rsidRPr="00935C25">
        <w:rPr>
          <w:rFonts w:ascii="Times New Roman" w:hAnsi="Times New Roman"/>
          <w:bCs/>
          <w:i/>
          <w:lang w:val="uk-UA"/>
        </w:rPr>
        <w:t>номер договору</w:t>
      </w:r>
      <w:r w:rsidR="00FB4A99">
        <w:rPr>
          <w:rFonts w:ascii="Times New Roman" w:hAnsi="Times New Roman"/>
          <w:bCs/>
          <w:i/>
          <w:lang w:val="uk-UA"/>
        </w:rPr>
        <w:t xml:space="preserve"> та цінові показники</w:t>
      </w:r>
      <w:r w:rsidRPr="00935C25">
        <w:rPr>
          <w:rFonts w:ascii="Times New Roman" w:hAnsi="Times New Roman"/>
          <w:bCs/>
          <w:i/>
          <w:lang w:val="uk-UA"/>
        </w:rPr>
        <w:t xml:space="preserve"> </w:t>
      </w:r>
      <w:r w:rsidR="00901047">
        <w:rPr>
          <w:rFonts w:ascii="Times New Roman" w:hAnsi="Times New Roman"/>
          <w:bCs/>
          <w:i/>
          <w:lang w:val="uk-UA"/>
        </w:rPr>
        <w:t>можуть не заповнюватись</w:t>
      </w:r>
      <w:r w:rsidRPr="00935C25">
        <w:rPr>
          <w:rFonts w:ascii="Times New Roman" w:hAnsi="Times New Roman"/>
          <w:bCs/>
          <w:i/>
          <w:lang w:val="uk-UA"/>
        </w:rPr>
        <w:t>.</w:t>
      </w: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87D76"/>
    <w:rsid w:val="001949C3"/>
    <w:rsid w:val="0019709B"/>
    <w:rsid w:val="001973F5"/>
    <w:rsid w:val="001C6CBE"/>
    <w:rsid w:val="001E1162"/>
    <w:rsid w:val="001E2A43"/>
    <w:rsid w:val="001F3674"/>
    <w:rsid w:val="00202788"/>
    <w:rsid w:val="00202931"/>
    <w:rsid w:val="002132A6"/>
    <w:rsid w:val="00215DF6"/>
    <w:rsid w:val="00216765"/>
    <w:rsid w:val="00240EED"/>
    <w:rsid w:val="00245907"/>
    <w:rsid w:val="002523CA"/>
    <w:rsid w:val="00281806"/>
    <w:rsid w:val="002840AB"/>
    <w:rsid w:val="00292B82"/>
    <w:rsid w:val="0029312B"/>
    <w:rsid w:val="002A3681"/>
    <w:rsid w:val="002B13F2"/>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1FF2"/>
    <w:rsid w:val="00407DC9"/>
    <w:rsid w:val="004213DF"/>
    <w:rsid w:val="00437C56"/>
    <w:rsid w:val="004531A2"/>
    <w:rsid w:val="00455B6B"/>
    <w:rsid w:val="00460167"/>
    <w:rsid w:val="00464932"/>
    <w:rsid w:val="004747F9"/>
    <w:rsid w:val="0047596B"/>
    <w:rsid w:val="00487AB0"/>
    <w:rsid w:val="004928B0"/>
    <w:rsid w:val="004A585E"/>
    <w:rsid w:val="004A6386"/>
    <w:rsid w:val="004A6B92"/>
    <w:rsid w:val="004B1796"/>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59F6"/>
    <w:rsid w:val="00586315"/>
    <w:rsid w:val="00595B15"/>
    <w:rsid w:val="005B22F8"/>
    <w:rsid w:val="005D1275"/>
    <w:rsid w:val="005D4424"/>
    <w:rsid w:val="005F2383"/>
    <w:rsid w:val="005F4FFC"/>
    <w:rsid w:val="00612260"/>
    <w:rsid w:val="006128C8"/>
    <w:rsid w:val="00640509"/>
    <w:rsid w:val="006470E6"/>
    <w:rsid w:val="006547CE"/>
    <w:rsid w:val="00681DE3"/>
    <w:rsid w:val="00684DFF"/>
    <w:rsid w:val="006853ED"/>
    <w:rsid w:val="00690B52"/>
    <w:rsid w:val="00694FBE"/>
    <w:rsid w:val="006978F8"/>
    <w:rsid w:val="006E15CA"/>
    <w:rsid w:val="006F41BD"/>
    <w:rsid w:val="00702894"/>
    <w:rsid w:val="00703365"/>
    <w:rsid w:val="00732E76"/>
    <w:rsid w:val="007378DF"/>
    <w:rsid w:val="00744421"/>
    <w:rsid w:val="007674D4"/>
    <w:rsid w:val="0078355F"/>
    <w:rsid w:val="00786C16"/>
    <w:rsid w:val="00793422"/>
    <w:rsid w:val="00797310"/>
    <w:rsid w:val="007A642C"/>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32954"/>
    <w:rsid w:val="0094623B"/>
    <w:rsid w:val="00951437"/>
    <w:rsid w:val="00956FBF"/>
    <w:rsid w:val="0096705E"/>
    <w:rsid w:val="009726B4"/>
    <w:rsid w:val="0097566B"/>
    <w:rsid w:val="00982354"/>
    <w:rsid w:val="009824C9"/>
    <w:rsid w:val="0098732D"/>
    <w:rsid w:val="009967B2"/>
    <w:rsid w:val="009F2ACA"/>
    <w:rsid w:val="009F39F6"/>
    <w:rsid w:val="009F6D81"/>
    <w:rsid w:val="00A00CAA"/>
    <w:rsid w:val="00A07227"/>
    <w:rsid w:val="00A32156"/>
    <w:rsid w:val="00A56C68"/>
    <w:rsid w:val="00A66C3D"/>
    <w:rsid w:val="00A66F14"/>
    <w:rsid w:val="00A73FD1"/>
    <w:rsid w:val="00A770B8"/>
    <w:rsid w:val="00A81582"/>
    <w:rsid w:val="00A84BAD"/>
    <w:rsid w:val="00A9397E"/>
    <w:rsid w:val="00A96840"/>
    <w:rsid w:val="00AA581D"/>
    <w:rsid w:val="00AD4AF5"/>
    <w:rsid w:val="00AE0C2E"/>
    <w:rsid w:val="00AE282A"/>
    <w:rsid w:val="00AF3BAD"/>
    <w:rsid w:val="00B008DE"/>
    <w:rsid w:val="00B01E7E"/>
    <w:rsid w:val="00B14DF2"/>
    <w:rsid w:val="00B43DD1"/>
    <w:rsid w:val="00B80F59"/>
    <w:rsid w:val="00B850DA"/>
    <w:rsid w:val="00B87194"/>
    <w:rsid w:val="00BA641E"/>
    <w:rsid w:val="00BB17AC"/>
    <w:rsid w:val="00BC331C"/>
    <w:rsid w:val="00BE59EF"/>
    <w:rsid w:val="00BF6911"/>
    <w:rsid w:val="00C03424"/>
    <w:rsid w:val="00C25383"/>
    <w:rsid w:val="00C25711"/>
    <w:rsid w:val="00C40ACC"/>
    <w:rsid w:val="00C47775"/>
    <w:rsid w:val="00C51FBF"/>
    <w:rsid w:val="00C53C99"/>
    <w:rsid w:val="00C561A7"/>
    <w:rsid w:val="00C94A7B"/>
    <w:rsid w:val="00C9643A"/>
    <w:rsid w:val="00CA2C4E"/>
    <w:rsid w:val="00CA40AF"/>
    <w:rsid w:val="00CB1330"/>
    <w:rsid w:val="00CB390C"/>
    <w:rsid w:val="00CB5503"/>
    <w:rsid w:val="00CC0678"/>
    <w:rsid w:val="00CE2E43"/>
    <w:rsid w:val="00D06A16"/>
    <w:rsid w:val="00D40117"/>
    <w:rsid w:val="00D5556D"/>
    <w:rsid w:val="00D578AB"/>
    <w:rsid w:val="00D57D3F"/>
    <w:rsid w:val="00D64FBE"/>
    <w:rsid w:val="00D73932"/>
    <w:rsid w:val="00D84608"/>
    <w:rsid w:val="00D8461C"/>
    <w:rsid w:val="00D86167"/>
    <w:rsid w:val="00D95521"/>
    <w:rsid w:val="00D979D7"/>
    <w:rsid w:val="00DA29F9"/>
    <w:rsid w:val="00DB1219"/>
    <w:rsid w:val="00DC3B80"/>
    <w:rsid w:val="00DD1B43"/>
    <w:rsid w:val="00DE0755"/>
    <w:rsid w:val="00DE1BD5"/>
    <w:rsid w:val="00DE3AE8"/>
    <w:rsid w:val="00DF0D3F"/>
    <w:rsid w:val="00DF0F7A"/>
    <w:rsid w:val="00DF5CF6"/>
    <w:rsid w:val="00DF667F"/>
    <w:rsid w:val="00E04415"/>
    <w:rsid w:val="00E07A9F"/>
    <w:rsid w:val="00E10EAD"/>
    <w:rsid w:val="00E1278F"/>
    <w:rsid w:val="00E14861"/>
    <w:rsid w:val="00E21A38"/>
    <w:rsid w:val="00E2727B"/>
    <w:rsid w:val="00E430EE"/>
    <w:rsid w:val="00E43B89"/>
    <w:rsid w:val="00E55303"/>
    <w:rsid w:val="00E56A89"/>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E40BF"/>
    <w:rsid w:val="00FE5373"/>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172186145">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10</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42</cp:revision>
  <dcterms:created xsi:type="dcterms:W3CDTF">2022-06-01T09:26:00Z</dcterms:created>
  <dcterms:modified xsi:type="dcterms:W3CDTF">2024-03-11T12:42:00Z</dcterms:modified>
</cp:coreProperties>
</file>