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A4" w:rsidRDefault="000050A4" w:rsidP="000050A4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93026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0050A4" w:rsidRPr="00930265" w:rsidRDefault="000050A4" w:rsidP="000050A4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0050A4" w:rsidRPr="00A95BF0" w:rsidRDefault="000050A4" w:rsidP="000050A4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0050A4" w:rsidRPr="00BD206D" w:rsidRDefault="000050A4" w:rsidP="000050A4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uk-UA"/>
        </w:rPr>
      </w:pPr>
      <w:r w:rsidRPr="00BD206D">
        <w:rPr>
          <w:rFonts w:ascii="Times New Roman" w:eastAsia="Times New Roman" w:hAnsi="Times New Roman"/>
          <w:b/>
          <w:bCs/>
          <w:i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050A4" w:rsidRPr="00BD206D" w:rsidRDefault="000050A4" w:rsidP="000050A4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uk-UA"/>
        </w:rPr>
      </w:pPr>
    </w:p>
    <w:p w:rsidR="000050A4" w:rsidRPr="00BD206D" w:rsidRDefault="000050A4" w:rsidP="000050A4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uk-UA"/>
        </w:rPr>
      </w:pPr>
      <w:r w:rsidRPr="00BD206D">
        <w:rPr>
          <w:rFonts w:ascii="Times New Roman" w:eastAsia="Times New Roman" w:hAnsi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:rsidR="000050A4" w:rsidRPr="00BD206D" w:rsidRDefault="000050A4" w:rsidP="000050A4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uk-UA"/>
        </w:rPr>
      </w:pPr>
    </w:p>
    <w:p w:rsidR="000050A4" w:rsidRPr="00DD3CF1" w:rsidRDefault="000050A4" w:rsidP="000050A4">
      <w:pPr>
        <w:spacing w:after="0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</w:pPr>
      <w:r w:rsidRPr="00BD206D">
        <w:rPr>
          <w:rFonts w:ascii="Times New Roman" w:eastAsia="Times New Roman" w:hAnsi="Times New Roman"/>
          <w:b/>
          <w:sz w:val="24"/>
          <w:szCs w:val="24"/>
          <w:lang w:val="uk-UA" w:eastAsia="x-none"/>
        </w:rPr>
        <w:t>Предмет закупівлі:</w:t>
      </w:r>
      <w:r w:rsidRPr="00BD206D">
        <w:rPr>
          <w:rFonts w:ascii="Times New Roman" w:eastAsia="Times New Roman" w:hAnsi="Times New Roman"/>
          <w:sz w:val="24"/>
          <w:szCs w:val="24"/>
          <w:lang w:val="uk-UA" w:eastAsia="x-none"/>
        </w:rPr>
        <w:t xml:space="preserve"> </w:t>
      </w:r>
      <w:r w:rsidRPr="00BD206D">
        <w:rPr>
          <w:rFonts w:ascii="Times New Roman" w:eastAsia="Times New Roman" w:hAnsi="Times New Roman"/>
          <w:snapToGrid w:val="0"/>
          <w:sz w:val="24"/>
          <w:szCs w:val="24"/>
          <w:lang w:val="uk-UA" w:eastAsia="x-none"/>
        </w:rPr>
        <w:t xml:space="preserve"> </w:t>
      </w:r>
      <w:r w:rsidRPr="00BD206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за </w:t>
      </w:r>
      <w:r w:rsidRPr="00DD3C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Pr="00DD3CF1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: </w:t>
      </w:r>
      <w:bookmarkStart w:id="0" w:name="_Hlk132888729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4422</w:t>
      </w:r>
      <w:r w:rsidRPr="00DD3C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0000-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8</w:t>
      </w:r>
      <w:r w:rsidRPr="00DD3C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 xml:space="preserve"> «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Столярні вироби</w:t>
      </w:r>
      <w:r w:rsidRPr="00DD3C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 xml:space="preserve">» </w:t>
      </w:r>
    </w:p>
    <w:p w:rsidR="000050A4" w:rsidRPr="004A467D" w:rsidRDefault="000050A4" w:rsidP="000050A4">
      <w:pPr>
        <w:spacing w:after="0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</w:pPr>
      <w:r w:rsidRPr="004A467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(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44221300-8</w:t>
      </w:r>
      <w:r w:rsidRPr="004A467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 xml:space="preserve"> «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Ворота</w:t>
      </w:r>
      <w:r w:rsidRPr="004A467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»)</w:t>
      </w:r>
    </w:p>
    <w:bookmarkEnd w:id="0"/>
    <w:p w:rsidR="004A7771" w:rsidRDefault="004A7771" w:rsidP="000050A4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A7771" w:rsidRPr="00B94E5D" w:rsidRDefault="004A7771" w:rsidP="004A77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Інформацію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запропонований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товар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з </w:t>
      </w:r>
      <w:r w:rsidRPr="00B94E5D">
        <w:rPr>
          <w:rFonts w:ascii="Times New Roman" w:eastAsia="Times New Roman" w:hAnsi="Times New Roman"/>
          <w:b/>
          <w:i/>
          <w:sz w:val="24"/>
          <w:szCs w:val="24"/>
        </w:rPr>
        <w:t>Таблицею 1:</w:t>
      </w:r>
    </w:p>
    <w:p w:rsidR="004A7771" w:rsidRPr="00B94E5D" w:rsidRDefault="004A7771" w:rsidP="004A7771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highlight w:val="white"/>
        </w:rPr>
      </w:pP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</w:r>
      <w:r w:rsidRPr="00B94E5D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proofErr w:type="spellStart"/>
      <w:r w:rsidRPr="00B94E5D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Таблиця</w:t>
      </w:r>
      <w:proofErr w:type="spellEnd"/>
      <w:r w:rsidRPr="00B94E5D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 1</w:t>
      </w:r>
    </w:p>
    <w:tbl>
      <w:tblPr>
        <w:tblW w:w="9904" w:type="dxa"/>
        <w:tblInd w:w="-1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"/>
        <w:gridCol w:w="6"/>
        <w:gridCol w:w="2117"/>
        <w:gridCol w:w="1410"/>
        <w:gridCol w:w="6"/>
        <w:gridCol w:w="1136"/>
        <w:gridCol w:w="2274"/>
        <w:gridCol w:w="2406"/>
      </w:tblGrid>
      <w:tr w:rsidR="004A7771" w:rsidRPr="00B94E5D" w:rsidTr="00C4713C">
        <w:trPr>
          <w:trHeight w:val="732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№ з/п</w:t>
            </w:r>
            <w:bookmarkStart w:id="1" w:name="_heading=h.gjdgxs"/>
            <w:bookmarkEnd w:id="1"/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 товару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Одиниця</w:t>
            </w:r>
            <w:proofErr w:type="spellEnd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виміру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Кількість</w:t>
            </w:r>
            <w:proofErr w:type="spellEnd"/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A86E8"/>
                <w:sz w:val="24"/>
                <w:szCs w:val="24"/>
                <w:highlight w:val="white"/>
              </w:rPr>
            </w:pP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</w:rPr>
              <w:t>Виробник</w:t>
            </w:r>
            <w:proofErr w:type="spellEnd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товару*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A86E8"/>
                <w:sz w:val="24"/>
                <w:szCs w:val="24"/>
                <w:highlight w:val="white"/>
              </w:rPr>
            </w:pP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Країна</w:t>
            </w:r>
            <w:proofErr w:type="spellEnd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>походження</w:t>
            </w:r>
            <w:proofErr w:type="spellEnd"/>
            <w:r w:rsidRPr="00B94E5D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  <w:t xml:space="preserve"> товару**</w:t>
            </w:r>
          </w:p>
        </w:tc>
      </w:tr>
      <w:tr w:rsidR="004A7771" w:rsidRPr="00B94E5D" w:rsidTr="00C4713C">
        <w:trPr>
          <w:trHeight w:val="213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7771" w:rsidRPr="00B94E5D" w:rsidRDefault="004A7771" w:rsidP="00C4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</w:tc>
      </w:tr>
      <w:tr w:rsidR="004A7771" w:rsidRPr="00B94E5D" w:rsidTr="00C4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55" w:type="dxa"/>
            <w:gridSpan w:val="2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A7771" w:rsidRPr="00B94E5D" w:rsidTr="00C4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55" w:type="dxa"/>
            <w:gridSpan w:val="2"/>
          </w:tcPr>
          <w:p w:rsidR="004A7771" w:rsidRPr="00B94E5D" w:rsidRDefault="004A7771" w:rsidP="00C4713C">
            <w:pPr>
              <w:spacing w:after="0" w:line="240" w:lineRule="auto"/>
              <w:ind w:left="265" w:firstLine="2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4A7771" w:rsidRPr="00B94E5D" w:rsidRDefault="004A7771" w:rsidP="00C4713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4A7771" w:rsidRPr="00B94E5D" w:rsidRDefault="004A7771" w:rsidP="00C4713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4A7771" w:rsidRPr="00B94E5D" w:rsidRDefault="004A7771" w:rsidP="00C4713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4A7771" w:rsidRPr="00B94E5D" w:rsidRDefault="004A7771" w:rsidP="00C47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A7771" w:rsidRPr="00B94E5D" w:rsidRDefault="004A7771" w:rsidP="004A7771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A7771" w:rsidRPr="00B94E5D" w:rsidRDefault="004A7771" w:rsidP="004A7771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*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Зазначається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найменування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виробника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із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зазначенням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організаційно-правової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форми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товариство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з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обмеженою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відповідальністю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приватне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підприємство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тощо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4A7771" w:rsidRPr="00B94E5D" w:rsidRDefault="004A7771" w:rsidP="004A7771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**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Країною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походження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товару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вважається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країна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, у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якій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товар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був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повністю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вироблений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підданий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достатній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переробці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відповідно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до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критеріїв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встановлених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Митним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кодексом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України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4A7771" w:rsidRPr="00B94E5D" w:rsidRDefault="004A7771" w:rsidP="000050A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0050A4" w:rsidRPr="00B94E5D" w:rsidRDefault="000050A4" w:rsidP="000050A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DFEFD"/>
        </w:rPr>
      </w:pPr>
      <w:r w:rsidRPr="00B94E5D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Промислові секційні ворота</w:t>
      </w:r>
    </w:p>
    <w:p w:rsidR="000050A4" w:rsidRPr="00B94E5D" w:rsidRDefault="000050A4" w:rsidP="000634B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94E5D">
        <w:rPr>
          <w:rFonts w:ascii="Times New Roman" w:hAnsi="Times New Roman"/>
          <w:sz w:val="24"/>
          <w:szCs w:val="24"/>
        </w:rPr>
        <w:t xml:space="preserve">Товар повинен </w:t>
      </w:r>
      <w:proofErr w:type="spellStart"/>
      <w:r w:rsidRPr="00B94E5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наступним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вимогам</w:t>
      </w:r>
      <w:proofErr w:type="spellEnd"/>
      <w:r w:rsidRPr="00B94E5D">
        <w:rPr>
          <w:rFonts w:ascii="Times New Roman" w:hAnsi="Times New Roman"/>
          <w:sz w:val="24"/>
          <w:szCs w:val="24"/>
        </w:rPr>
        <w:t>: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Тип полотна (малюнок і тиснення панелей): S-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гофр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woodgrain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>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Колір 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сендвіч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>-панелі з зовнішньої сторони: темно сірий (графіт);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Колір 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сендвіч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>-панелі з внутрішньої сторони: темно сірий (графіт);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Ресурс пружин: 25000 циклів;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Обмежувач ходу полотна: демпферний пружинний;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Засув – установлювати;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Ручка двостороння– установлювати;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Тип упакування: вертикальна посилена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Хвіртка з низьким порогом 100мм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Напрямок відчинення: праворуч;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Запирання зсередини: з поворотною ручкою.</w:t>
      </w:r>
    </w:p>
    <w:p w:rsidR="000634BD" w:rsidRDefault="000634BD" w:rsidP="00B94E5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Вставка світлопрозора не менше 30%</w:t>
      </w:r>
    </w:p>
    <w:p w:rsidR="00B94E5D" w:rsidRPr="00B94E5D" w:rsidRDefault="00B94E5D" w:rsidP="00B94E5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</w:p>
    <w:p w:rsidR="000634BD" w:rsidRPr="00B94E5D" w:rsidRDefault="000634BD" w:rsidP="000634BD">
      <w:pPr>
        <w:spacing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94E5D">
        <w:rPr>
          <w:rFonts w:ascii="Times New Roman" w:hAnsi="Times New Roman"/>
          <w:b/>
          <w:bCs/>
          <w:sz w:val="24"/>
          <w:szCs w:val="24"/>
          <w:lang w:val="uk-UA"/>
        </w:rPr>
        <w:t>Теплоізоляція: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Утеплені ворота із сталевих 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двостінних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 xml:space="preserve"> секцій з заповненням екологічним матеріалом – пінополіуретаном без фреону;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товщина секцій 40-45 мм;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морозостійкі ЕPDM ущільнювачі між секціями по периметру воріт;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lastRenderedPageBreak/>
        <w:t>бокові та верхні ущільнювачі з 2 пелюстками;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регульовані роликові кронштейни – щільне примикання полотна.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34BD" w:rsidRPr="00B94E5D" w:rsidRDefault="000634BD" w:rsidP="000634BD">
      <w:pPr>
        <w:spacing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94E5D">
        <w:rPr>
          <w:rFonts w:ascii="Times New Roman" w:hAnsi="Times New Roman"/>
          <w:b/>
          <w:bCs/>
          <w:sz w:val="24"/>
          <w:szCs w:val="24"/>
          <w:lang w:val="uk-UA"/>
        </w:rPr>
        <w:t>Міцність: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зовнішні і внутрішні сталеві листи секцій скріплені між собою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захист від розшарування панелей при нагріванні на сонці та ударних навантаженнях;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жорсткість ворітного полотна та висока стійкість до деформацій;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товщина акрилового склопакету не менше 23 мм. Товщина акрилу не менше 3 мм.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34BD" w:rsidRPr="00B94E5D" w:rsidRDefault="000634BD" w:rsidP="000634BD">
      <w:pPr>
        <w:spacing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94E5D">
        <w:rPr>
          <w:rFonts w:ascii="Times New Roman" w:hAnsi="Times New Roman"/>
          <w:b/>
          <w:bCs/>
          <w:sz w:val="24"/>
          <w:szCs w:val="24"/>
          <w:lang w:val="uk-UA"/>
        </w:rPr>
        <w:t>Довговічність: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декоративне поліуретанове покриття панелей з частинками 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поліаміду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 xml:space="preserve"> - 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захист від корозії, стійкість до </w:t>
      </w:r>
      <w:proofErr w:type="spellStart"/>
      <w:r w:rsidRPr="00B94E5D">
        <w:rPr>
          <w:rFonts w:ascii="Times New Roman" w:hAnsi="Times New Roman"/>
          <w:sz w:val="24"/>
          <w:szCs w:val="24"/>
          <w:lang w:val="uk-UA"/>
        </w:rPr>
        <w:t>стримання</w:t>
      </w:r>
      <w:proofErr w:type="spellEnd"/>
      <w:r w:rsidRPr="00B94E5D">
        <w:rPr>
          <w:rFonts w:ascii="Times New Roman" w:hAnsi="Times New Roman"/>
          <w:sz w:val="24"/>
          <w:szCs w:val="24"/>
          <w:lang w:val="uk-UA"/>
        </w:rPr>
        <w:t xml:space="preserve"> та вицвітання, впливу миючих засобів і хімікатів, перепадів температури та вологості;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направляючий профіль з гарячеоцинкованої сталі;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роликові кронштейни і проміжні петлі з нержавіючої сталі.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34BD" w:rsidRPr="00B94E5D" w:rsidRDefault="000634BD" w:rsidP="000634BD">
      <w:pPr>
        <w:spacing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94E5D">
        <w:rPr>
          <w:rFonts w:ascii="Times New Roman" w:hAnsi="Times New Roman"/>
          <w:b/>
          <w:bCs/>
          <w:sz w:val="24"/>
          <w:szCs w:val="24"/>
          <w:lang w:val="uk-UA"/>
        </w:rPr>
        <w:t xml:space="preserve">Безпека: 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пристрої захисту від падіння полотна при поломці пружини;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панелі з захистом від защемлення пальців;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захист від порізів, зачепів.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34BD" w:rsidRPr="00B94E5D" w:rsidRDefault="000634BD" w:rsidP="000634BD">
      <w:pPr>
        <w:spacing w:line="228" w:lineRule="auto"/>
        <w:ind w:left="260" w:right="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94E5D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Відкривання 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з пульта; 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 xml:space="preserve">кнопкою в гаражі; 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  <w:r w:rsidRPr="00B94E5D">
        <w:rPr>
          <w:rFonts w:ascii="Times New Roman" w:hAnsi="Times New Roman"/>
          <w:sz w:val="24"/>
          <w:szCs w:val="24"/>
          <w:lang w:val="uk-UA"/>
        </w:rPr>
        <w:t>та резервна на випадок відключення світла (цепна)</w:t>
      </w:r>
    </w:p>
    <w:p w:rsidR="000634BD" w:rsidRPr="00B94E5D" w:rsidRDefault="000634BD" w:rsidP="000634BD">
      <w:pPr>
        <w:spacing w:after="0" w:line="228" w:lineRule="auto"/>
        <w:ind w:left="260" w:right="2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547"/>
        <w:gridCol w:w="1328"/>
        <w:gridCol w:w="1164"/>
        <w:gridCol w:w="1493"/>
        <w:gridCol w:w="1661"/>
      </w:tblGrid>
      <w:tr w:rsidR="000634BD" w:rsidRPr="00B94E5D" w:rsidTr="00B94E5D">
        <w:trPr>
          <w:trHeight w:val="1568"/>
        </w:trPr>
        <w:tc>
          <w:tcPr>
            <w:tcW w:w="6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547" w:type="dxa"/>
            <w:vMerge w:val="restart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Розташування</w:t>
            </w:r>
          </w:p>
        </w:tc>
        <w:tc>
          <w:tcPr>
            <w:tcW w:w="24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Розмір </w:t>
            </w:r>
            <w:proofErr w:type="spellStart"/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воротних</w:t>
            </w:r>
            <w:proofErr w:type="spellEnd"/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пройомів</w:t>
            </w:r>
            <w:proofErr w:type="spellEnd"/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міліметрах</w:t>
            </w:r>
          </w:p>
        </w:tc>
        <w:tc>
          <w:tcPr>
            <w:tcW w:w="14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дверей</w:t>
            </w:r>
          </w:p>
        </w:tc>
        <w:tc>
          <w:tcPr>
            <w:tcW w:w="1661" w:type="dxa"/>
            <w:vMerge w:val="restart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 перемички над воротами</w:t>
            </w:r>
          </w:p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стелі</w:t>
            </w:r>
          </w:p>
        </w:tc>
      </w:tr>
      <w:tr w:rsidR="000634BD" w:rsidRPr="00B94E5D" w:rsidTr="00DF2856">
        <w:trPr>
          <w:trHeight w:val="609"/>
        </w:trPr>
        <w:tc>
          <w:tcPr>
            <w:tcW w:w="60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Ширина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Висота</w:t>
            </w:r>
          </w:p>
        </w:tc>
        <w:tc>
          <w:tcPr>
            <w:tcW w:w="1493" w:type="dxa"/>
            <w:vMerge/>
            <w:vAlign w:val="center"/>
            <w:hideMark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Merge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47" w:type="dxa"/>
            <w:vMerge w:val="restart"/>
            <w:vAlign w:val="center"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</w:t>
            </w:r>
          </w:p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>м. Прилуки, вул. Київська, буд.236, А</w:t>
            </w: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B94E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72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B94E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24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B94E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73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B94E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B94E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73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B94E5D">
              <w:rPr>
                <w:rFonts w:ascii="Times New Roman" w:hAnsi="Times New Roman"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47" w:type="dxa"/>
            <w:vMerge w:val="restart"/>
            <w:vAlign w:val="center"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</w:t>
            </w:r>
          </w:p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>м. Ічня, площа Васильченка, буд.14;</w:t>
            </w: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3750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3650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3750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47" w:type="dxa"/>
            <w:vMerge w:val="restart"/>
            <w:vAlign w:val="center"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</w:t>
            </w:r>
          </w:p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>смт Ладан, вул. Миру, буд.118</w:t>
            </w: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3750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3660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3660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2547" w:type="dxa"/>
            <w:vMerge w:val="restart"/>
            <w:vAlign w:val="center"/>
          </w:tcPr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обл., </w:t>
            </w:r>
          </w:p>
          <w:p w:rsidR="000634BD" w:rsidRPr="00B94E5D" w:rsidRDefault="000634BD" w:rsidP="00E72D2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/>
              </w:rPr>
              <w:t>смт Срібне, вул. Миру, буд.72;</w:t>
            </w: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3080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3360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940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380</w:t>
            </w:r>
          </w:p>
        </w:tc>
      </w:tr>
      <w:tr w:rsidR="000634BD" w:rsidRPr="00B94E5D" w:rsidTr="00DF2856">
        <w:trPr>
          <w:trHeight w:val="288"/>
        </w:trPr>
        <w:tc>
          <w:tcPr>
            <w:tcW w:w="6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547" w:type="dxa"/>
            <w:vMerge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3950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1" w:type="dxa"/>
            <w:vAlign w:val="center"/>
          </w:tcPr>
          <w:p w:rsidR="000634BD" w:rsidRPr="00B94E5D" w:rsidRDefault="000634BD" w:rsidP="00E72D2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4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170</w:t>
            </w:r>
          </w:p>
        </w:tc>
      </w:tr>
    </w:tbl>
    <w:p w:rsidR="00DF2856" w:rsidRPr="00B94E5D" w:rsidRDefault="00DF2856" w:rsidP="00DF2856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4E5D">
        <w:rPr>
          <w:rFonts w:ascii="Times New Roman" w:hAnsi="Times New Roman"/>
          <w:b/>
          <w:bCs/>
          <w:sz w:val="24"/>
          <w:szCs w:val="24"/>
        </w:rPr>
        <w:t>Технічні</w:t>
      </w:r>
      <w:proofErr w:type="spellEnd"/>
      <w:r w:rsidRPr="00B94E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b/>
          <w:bCs/>
          <w:sz w:val="24"/>
          <w:szCs w:val="24"/>
        </w:rPr>
        <w:t>вимоги</w:t>
      </w:r>
      <w:proofErr w:type="spellEnd"/>
      <w:r w:rsidRPr="00B94E5D">
        <w:rPr>
          <w:rFonts w:ascii="Times New Roman" w:hAnsi="Times New Roman"/>
          <w:b/>
          <w:bCs/>
          <w:sz w:val="24"/>
          <w:szCs w:val="24"/>
        </w:rPr>
        <w:t xml:space="preserve"> та порядок </w:t>
      </w:r>
      <w:proofErr w:type="spellStart"/>
      <w:r w:rsidRPr="00B94E5D">
        <w:rPr>
          <w:rFonts w:ascii="Times New Roman" w:hAnsi="Times New Roman"/>
          <w:b/>
          <w:bCs/>
          <w:sz w:val="24"/>
          <w:szCs w:val="24"/>
        </w:rPr>
        <w:t>постачання</w:t>
      </w:r>
      <w:proofErr w:type="spellEnd"/>
      <w:r w:rsidRPr="00B94E5D">
        <w:rPr>
          <w:rFonts w:ascii="Times New Roman" w:hAnsi="Times New Roman"/>
          <w:b/>
          <w:bCs/>
          <w:sz w:val="24"/>
          <w:szCs w:val="24"/>
        </w:rPr>
        <w:t xml:space="preserve"> товару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 xml:space="preserve">Виготовлення товару потребує додаткових технічних замірів за </w:t>
      </w:r>
      <w:proofErr w:type="spellStart"/>
      <w:r w:rsidRPr="00B94E5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94E5D">
        <w:rPr>
          <w:rFonts w:ascii="Times New Roman" w:hAnsi="Times New Roman" w:cs="Times New Roman"/>
          <w:sz w:val="24"/>
          <w:szCs w:val="24"/>
        </w:rPr>
        <w:t xml:space="preserve"> встановлення та конструкційні рішення для встановлення воріт для забезпечення проїзду службової техніки.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 xml:space="preserve">Запропонований товар повинен бути без дефектів та мати упаковку без пошкоджень. Якість товару повинна відповідати </w:t>
      </w:r>
      <w:proofErr w:type="spellStart"/>
      <w:r w:rsidRPr="00B94E5D">
        <w:rPr>
          <w:rFonts w:ascii="Times New Roman" w:hAnsi="Times New Roman" w:cs="Times New Roman"/>
          <w:sz w:val="24"/>
          <w:szCs w:val="24"/>
        </w:rPr>
        <w:t>Держстандартам</w:t>
      </w:r>
      <w:proofErr w:type="spellEnd"/>
      <w:r w:rsidRPr="00B94E5D">
        <w:rPr>
          <w:rFonts w:ascii="Times New Roman" w:hAnsi="Times New Roman" w:cs="Times New Roman"/>
          <w:sz w:val="24"/>
          <w:szCs w:val="24"/>
        </w:rPr>
        <w:t xml:space="preserve"> або ТУ згідно законодавства України та іншим нормативно-технічним вимогам. Всі матеріали, з яких виготовлений товар, повинні бути якісними та дозволеними для використання в Україні.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>Товар повинен мати Сертифікат якості товару – завірену копію (мовою Виробника – оригінал, копію сертифіката (паспорта) з перекладом на українську мову, якщо оригінал іншою мовою).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>Транспортування, завантаження, розвантаження, демонтаж старих воріт</w:t>
      </w:r>
      <w:r w:rsidR="00B94E5D">
        <w:rPr>
          <w:rFonts w:ascii="Times New Roman" w:hAnsi="Times New Roman" w:cs="Times New Roman"/>
          <w:sz w:val="24"/>
          <w:szCs w:val="24"/>
        </w:rPr>
        <w:t>,</w:t>
      </w:r>
      <w:r w:rsidRPr="00B94E5D">
        <w:rPr>
          <w:rFonts w:ascii="Times New Roman" w:hAnsi="Times New Roman" w:cs="Times New Roman"/>
          <w:sz w:val="24"/>
          <w:szCs w:val="24"/>
        </w:rPr>
        <w:t xml:space="preserve"> монтаж</w:t>
      </w:r>
      <w:r w:rsidRPr="00B94E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E5D">
        <w:rPr>
          <w:rFonts w:ascii="Times New Roman" w:hAnsi="Times New Roman" w:cs="Times New Roman"/>
          <w:sz w:val="24"/>
          <w:szCs w:val="24"/>
        </w:rPr>
        <w:t>та заміри виробів (визначенн</w:t>
      </w:r>
      <w:r w:rsidR="00B94E5D">
        <w:rPr>
          <w:rFonts w:ascii="Times New Roman" w:hAnsi="Times New Roman" w:cs="Times New Roman"/>
          <w:sz w:val="24"/>
          <w:szCs w:val="24"/>
        </w:rPr>
        <w:t>я точних розмірів) здійснюється</w:t>
      </w:r>
      <w:r w:rsidRPr="00B94E5D">
        <w:rPr>
          <w:rFonts w:ascii="Times New Roman" w:hAnsi="Times New Roman" w:cs="Times New Roman"/>
          <w:sz w:val="24"/>
          <w:szCs w:val="24"/>
        </w:rPr>
        <w:t xml:space="preserve"> Постачальником та за рахунок Постачальника.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>Після встановлення товару Постачальник забезпечує гарантійне та післягарантійне обслуговування товару. Разом з товаром Постачальник передає замовнику документи на підтвердження його якості, чинні на момент поставки товару та письмову гарантію на товар, яка має бути не менше 24 місяців з моменту введення в експлуатацію (за наявності).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 xml:space="preserve">Враховуючи стратегічну важливість об’єкта замовника, учасник/переможець гарантує, що у разі укладання з ним договору про закупівлю, він негайно за зверненням замовника прибуває за місцем встановлення товару для усунення </w:t>
      </w:r>
      <w:proofErr w:type="spellStart"/>
      <w:r w:rsidRPr="00B94E5D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B94E5D">
        <w:rPr>
          <w:rFonts w:ascii="Times New Roman" w:hAnsi="Times New Roman" w:cs="Times New Roman"/>
          <w:sz w:val="24"/>
          <w:szCs w:val="24"/>
        </w:rPr>
        <w:t xml:space="preserve"> товару. Після звернення замовника час прибуття представника учасника/переможця на об’єкт замовника має бути не більш одного дня.</w:t>
      </w:r>
    </w:p>
    <w:p w:rsidR="00DF2856" w:rsidRPr="00B94E5D" w:rsidRDefault="00DF2856" w:rsidP="00254627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>Постачальник повинен дотримуватися правил зберігання товарів під час транспортування, забезпечує таке пакування товарів, яке необхідно для запобігання їх пошкодженню або псуванню під час транспортування до кінцевого пункту поставки.</w:t>
      </w:r>
    </w:p>
    <w:p w:rsidR="000050A4" w:rsidRPr="00B94E5D" w:rsidRDefault="00DF2856" w:rsidP="00254627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E5D">
        <w:rPr>
          <w:rFonts w:ascii="Times New Roman" w:hAnsi="Times New Roman" w:cs="Times New Roman"/>
          <w:sz w:val="24"/>
          <w:szCs w:val="24"/>
        </w:rPr>
        <w:t>Якщо товар не підлягає обов’язковій сертифікації учасник надає лист за підписом уповноваженої особи (підпис має бути завірений печаткою, у разі її використання) про те, що товар не підлягає обов’язковій сертифікації, з посиланням на нормативний акт.</w:t>
      </w:r>
    </w:p>
    <w:p w:rsidR="000050A4" w:rsidRPr="00B94E5D" w:rsidRDefault="000050A4" w:rsidP="000050A4">
      <w:pPr>
        <w:pStyle w:val="a3"/>
        <w:spacing w:after="0"/>
        <w:ind w:firstLine="708"/>
        <w:jc w:val="both"/>
        <w:rPr>
          <w:b/>
          <w:color w:val="000000"/>
        </w:rPr>
      </w:pPr>
      <w:r w:rsidRPr="00B94E5D">
        <w:rPr>
          <w:b/>
          <w:color w:val="000000"/>
        </w:rPr>
        <w:t>У своїй пропозиції, Учасник повинен надати: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1. Якість та комплектність товару повинна відповідати нормам та вимогам, що визначають якість товару даного виду, технічним умовам заводу-виробника, забезпечувати його повну придатність для використання за його призначенням. </w:t>
      </w:r>
      <w:r w:rsidRPr="00B94E5D">
        <w:rPr>
          <w:i/>
          <w:iCs/>
          <w:color w:val="000000"/>
          <w:u w:val="single"/>
        </w:rPr>
        <w:t>Надати лист підтвердження</w:t>
      </w:r>
      <w:r w:rsidRPr="00B94E5D">
        <w:rPr>
          <w:color w:val="000000"/>
        </w:rPr>
        <w:t>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2. Товар повинен бути новим, не повинен бути у попередній експлуатації. </w:t>
      </w:r>
      <w:r w:rsidRPr="00B94E5D">
        <w:rPr>
          <w:i/>
          <w:iCs/>
          <w:color w:val="000000"/>
          <w:u w:val="single"/>
        </w:rPr>
        <w:t>На підтвердження надати лист-гарантію</w:t>
      </w:r>
      <w:r w:rsidRPr="00B94E5D">
        <w:rPr>
          <w:color w:val="000000"/>
        </w:rPr>
        <w:t>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3. Товар повинен мати заводську упаковку. </w:t>
      </w:r>
      <w:r w:rsidRPr="00B94E5D">
        <w:rPr>
          <w:i/>
          <w:iCs/>
          <w:color w:val="000000"/>
          <w:u w:val="single"/>
        </w:rPr>
        <w:t>На підтвердження надати лист-гарантію</w:t>
      </w:r>
      <w:r w:rsidRPr="00B94E5D">
        <w:rPr>
          <w:color w:val="000000"/>
        </w:rPr>
        <w:t>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i/>
          <w:iCs/>
          <w:color w:val="000000"/>
          <w:u w:val="single"/>
        </w:rPr>
      </w:pPr>
      <w:r w:rsidRPr="00B94E5D">
        <w:rPr>
          <w:color w:val="000000"/>
        </w:rPr>
        <w:t xml:space="preserve">4. Товар повинен бути сертифікований для продажу на території України (врахувати Постанову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</w:t>
      </w:r>
      <w:r w:rsidRPr="00B94E5D">
        <w:rPr>
          <w:color w:val="000000"/>
        </w:rPr>
        <w:lastRenderedPageBreak/>
        <w:t>на митну територію України в митному режимі імпорту товарів з Російської Федерації</w:t>
      </w:r>
      <w:r w:rsidR="00B94E5D">
        <w:rPr>
          <w:color w:val="000000"/>
        </w:rPr>
        <w:t xml:space="preserve"> та/або Республіки Білорусь</w:t>
      </w:r>
      <w:r w:rsidRPr="00B94E5D">
        <w:rPr>
          <w:color w:val="000000"/>
        </w:rPr>
        <w:t xml:space="preserve">). </w:t>
      </w:r>
      <w:r w:rsidRPr="00B94E5D">
        <w:rPr>
          <w:i/>
          <w:iCs/>
          <w:color w:val="000000"/>
          <w:u w:val="single"/>
        </w:rPr>
        <w:t>На підтвердження надати лист у довільній формі.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5. Вартість товару , що є предметом закупівлі, повинна враховувати усі податки та збори, а також всі інші витрати. </w:t>
      </w:r>
      <w:r w:rsidRPr="00B94E5D">
        <w:rPr>
          <w:i/>
          <w:iCs/>
          <w:color w:val="000000"/>
          <w:u w:val="single"/>
        </w:rPr>
        <w:t>На пі</w:t>
      </w:r>
      <w:r w:rsidR="00B94E5D">
        <w:rPr>
          <w:i/>
          <w:iCs/>
          <w:color w:val="000000"/>
          <w:u w:val="single"/>
        </w:rPr>
        <w:t>дтвердження надати лист у довільній формі</w:t>
      </w:r>
      <w:r w:rsidRPr="00B94E5D">
        <w:rPr>
          <w:color w:val="000000"/>
        </w:rPr>
        <w:t>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6. Учасник приймає на себе зобов’язання щодо поставки товару на адресу Замовника. </w:t>
      </w:r>
      <w:r w:rsidRPr="00B94E5D">
        <w:rPr>
          <w:i/>
          <w:iCs/>
          <w:color w:val="000000"/>
          <w:u w:val="single"/>
        </w:rPr>
        <w:t>На підтвердження надати лист-гарантію</w:t>
      </w:r>
      <w:r w:rsidRPr="00B94E5D">
        <w:rPr>
          <w:color w:val="000000"/>
        </w:rPr>
        <w:t>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7. Учасник повинен надати документи що підтверджують якість товару, а саме: сертифікат якості та/або сертифікат відповідності вимогам </w:t>
      </w:r>
      <w:proofErr w:type="spellStart"/>
      <w:r w:rsidRPr="00B94E5D">
        <w:rPr>
          <w:color w:val="000000"/>
        </w:rPr>
        <w:t>ГОСТу</w:t>
      </w:r>
      <w:proofErr w:type="spellEnd"/>
      <w:r w:rsidRPr="00B94E5D">
        <w:rPr>
          <w:color w:val="000000"/>
        </w:rPr>
        <w:t xml:space="preserve"> та/або ДСТУ.</w:t>
      </w:r>
    </w:p>
    <w:p w:rsidR="000050A4" w:rsidRPr="00B94E5D" w:rsidRDefault="000050A4" w:rsidP="000050A4">
      <w:pPr>
        <w:pStyle w:val="a3"/>
        <w:spacing w:after="24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8. Учасник у складі тендерної пропозиції </w:t>
      </w:r>
      <w:r w:rsidRPr="00B94E5D">
        <w:rPr>
          <w:i/>
          <w:iCs/>
          <w:color w:val="000000"/>
          <w:u w:val="single"/>
        </w:rPr>
        <w:t>повинен вказати виробника та країну походження товару</w:t>
      </w:r>
      <w:r w:rsidRPr="00B94E5D">
        <w:rPr>
          <w:color w:val="000000"/>
        </w:rPr>
        <w:t>. (Зазначається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України.).</w:t>
      </w:r>
    </w:p>
    <w:p w:rsidR="000050A4" w:rsidRPr="00B94E5D" w:rsidRDefault="000050A4" w:rsidP="000050A4">
      <w:pPr>
        <w:pStyle w:val="a3"/>
        <w:spacing w:before="0" w:beforeAutospacing="0" w:after="240" w:afterAutospacing="0"/>
        <w:ind w:firstLine="708"/>
        <w:jc w:val="both"/>
        <w:rPr>
          <w:color w:val="000000"/>
        </w:rPr>
      </w:pPr>
      <w:r w:rsidRPr="00B94E5D">
        <w:rPr>
          <w:color w:val="000000"/>
        </w:rPr>
        <w:t xml:space="preserve">9. Гарантійний термін експлуатації виробу складає 12 місяців, на регулювання фурнітури 12 місяців. </w:t>
      </w:r>
      <w:r w:rsidRPr="00B94E5D">
        <w:rPr>
          <w:i/>
          <w:iCs/>
          <w:color w:val="000000"/>
          <w:u w:val="single"/>
        </w:rPr>
        <w:t xml:space="preserve">На підтвердження надати лист-гарантію </w:t>
      </w:r>
    </w:p>
    <w:p w:rsidR="000050A4" w:rsidRPr="00B94E5D" w:rsidRDefault="000050A4" w:rsidP="000050A4">
      <w:pPr>
        <w:pStyle w:val="a3"/>
        <w:spacing w:before="0" w:beforeAutospacing="0" w:after="240" w:afterAutospacing="0"/>
        <w:ind w:firstLine="708"/>
        <w:jc w:val="both"/>
        <w:rPr>
          <w:i/>
          <w:iCs/>
          <w:color w:val="000000"/>
        </w:rPr>
      </w:pPr>
      <w:bookmarkStart w:id="2" w:name="_Hlk163121070"/>
      <w:r w:rsidRPr="00B94E5D">
        <w:rPr>
          <w:color w:val="000000"/>
        </w:rPr>
        <w:t xml:space="preserve">10. Учасник приймає на себе зобов’язання щодо встановлення воріт за </w:t>
      </w:r>
      <w:proofErr w:type="spellStart"/>
      <w:r w:rsidRPr="00B94E5D">
        <w:rPr>
          <w:color w:val="000000"/>
        </w:rPr>
        <w:t>адресою</w:t>
      </w:r>
      <w:proofErr w:type="spellEnd"/>
      <w:r w:rsidRPr="00B94E5D">
        <w:rPr>
          <w:color w:val="000000"/>
        </w:rPr>
        <w:t xml:space="preserve"> Замовника. </w:t>
      </w:r>
      <w:r w:rsidRPr="00B94E5D">
        <w:rPr>
          <w:i/>
          <w:iCs/>
          <w:color w:val="000000"/>
          <w:u w:val="single"/>
        </w:rPr>
        <w:t>На підтвердження надати лист-гарантію.</w:t>
      </w:r>
    </w:p>
    <w:bookmarkEnd w:id="2"/>
    <w:p w:rsidR="000050A4" w:rsidRPr="00B94E5D" w:rsidRDefault="000050A4" w:rsidP="00B94E5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пропонується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/>
          <w:sz w:val="24"/>
          <w:szCs w:val="24"/>
        </w:rPr>
        <w:t>еквівалент</w:t>
      </w:r>
      <w:proofErr w:type="spellEnd"/>
      <w:r w:rsidRPr="00B94E5D">
        <w:rPr>
          <w:rFonts w:ascii="Times New Roman" w:eastAsia="Times New Roman" w:hAnsi="Times New Roman"/>
          <w:b/>
          <w:sz w:val="24"/>
          <w:szCs w:val="24"/>
        </w:rPr>
        <w:t xml:space="preserve"> товару </w:t>
      </w:r>
      <w:r w:rsidRPr="00B94E5D">
        <w:rPr>
          <w:rFonts w:ascii="Times New Roman" w:eastAsia="Times New Roman" w:hAnsi="Times New Roman"/>
          <w:sz w:val="24"/>
          <w:szCs w:val="24"/>
        </w:rPr>
        <w:t xml:space="preserve">до того,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вимагається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додатково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таблицю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складену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довільні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, яка у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порівняльному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вигляді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містить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відомості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основних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технічних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якісних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характеристик товару,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вимагається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Замовником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основних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технічних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якісних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характеристик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еквівалентного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товару,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пропонується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. При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цьому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запропонованого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еквівалента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товару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якості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заявлена в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технічній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специфікації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Таблиця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повинна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містити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точну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назву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товару, яка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пропонується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. У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випадку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якщо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буде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зазначено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назву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товару, яка буде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містити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словосполучення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«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еквівалент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>»</w:t>
      </w:r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4E5D"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наприклад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, Ворота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промислові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секційні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94E5D">
        <w:rPr>
          <w:rFonts w:ascii="Times New Roman" w:eastAsia="Times New Roman" w:hAnsi="Times New Roman"/>
          <w:i/>
          <w:sz w:val="24"/>
          <w:szCs w:val="24"/>
          <w:lang w:val="uk-UA"/>
        </w:rPr>
        <w:t>3550</w:t>
      </w:r>
      <w:r w:rsidRPr="00B94E5D">
        <w:rPr>
          <w:rFonts w:ascii="Times New Roman" w:eastAsia="Times New Roman" w:hAnsi="Times New Roman"/>
          <w:i/>
          <w:sz w:val="24"/>
          <w:szCs w:val="24"/>
        </w:rPr>
        <w:t>х</w:t>
      </w:r>
      <w:r w:rsidRPr="00B94E5D">
        <w:rPr>
          <w:rFonts w:ascii="Times New Roman" w:eastAsia="Times New Roman" w:hAnsi="Times New Roman"/>
          <w:i/>
          <w:sz w:val="24"/>
          <w:szCs w:val="24"/>
          <w:lang w:val="uk-UA"/>
        </w:rPr>
        <w:t>3660</w:t>
      </w:r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мм,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B94E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i/>
          <w:sz w:val="24"/>
          <w:szCs w:val="24"/>
        </w:rPr>
        <w:t>еквівалент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тендерну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пропозицію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такого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буде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відхилено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як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таку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відповідає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умовам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технічної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специфікації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іншим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 w:rsidRPr="00B94E5D">
        <w:rPr>
          <w:rFonts w:ascii="Times New Roman" w:eastAsia="Times New Roman" w:hAnsi="Times New Roman"/>
          <w:sz w:val="24"/>
          <w:szCs w:val="24"/>
        </w:rPr>
        <w:t>.</w:t>
      </w:r>
      <w:bookmarkStart w:id="3" w:name="_GoBack"/>
      <w:bookmarkEnd w:id="3"/>
    </w:p>
    <w:p w:rsidR="000050A4" w:rsidRPr="00B94E5D" w:rsidRDefault="000050A4" w:rsidP="000050A4">
      <w:pPr>
        <w:spacing w:before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4E5D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складі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повинен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>:</w:t>
      </w:r>
    </w:p>
    <w:p w:rsidR="000050A4" w:rsidRPr="00B94E5D" w:rsidRDefault="000050A4" w:rsidP="000050A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4E5D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B94E5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вимогам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94E5D">
        <w:rPr>
          <w:rFonts w:ascii="Times New Roman" w:hAnsi="Times New Roman"/>
          <w:sz w:val="24"/>
          <w:szCs w:val="24"/>
        </w:rPr>
        <w:t>Додатку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94E5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4E5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B94E5D">
        <w:rPr>
          <w:rFonts w:ascii="Times New Roman" w:hAnsi="Times New Roman"/>
          <w:sz w:val="24"/>
          <w:szCs w:val="24"/>
        </w:rPr>
        <w:t>підтвердити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4E5D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94E5D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4E5D">
        <w:rPr>
          <w:rFonts w:ascii="Times New Roman" w:hAnsi="Times New Roman"/>
          <w:sz w:val="24"/>
          <w:szCs w:val="24"/>
        </w:rPr>
        <w:t>якісні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94E5D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B94E5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» шляхом </w:t>
      </w:r>
      <w:proofErr w:type="spellStart"/>
      <w:r w:rsidRPr="00B94E5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листа в </w:t>
      </w:r>
      <w:proofErr w:type="spellStart"/>
      <w:r w:rsidRPr="00B94E5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формі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94E5D">
        <w:rPr>
          <w:rFonts w:ascii="Times New Roman" w:hAnsi="Times New Roman"/>
          <w:sz w:val="24"/>
          <w:szCs w:val="24"/>
        </w:rPr>
        <w:t>згоду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94E5D">
        <w:rPr>
          <w:rFonts w:ascii="Times New Roman" w:hAnsi="Times New Roman"/>
          <w:sz w:val="24"/>
          <w:szCs w:val="24"/>
        </w:rPr>
        <w:t>технічними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B94E5D">
        <w:rPr>
          <w:rFonts w:ascii="Times New Roman" w:hAnsi="Times New Roman"/>
          <w:sz w:val="24"/>
          <w:szCs w:val="24"/>
        </w:rPr>
        <w:t>.</w:t>
      </w:r>
    </w:p>
    <w:p w:rsidR="000050A4" w:rsidRPr="00B94E5D" w:rsidRDefault="000050A4" w:rsidP="000050A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4E5D">
        <w:rPr>
          <w:rFonts w:ascii="Times New Roman" w:hAnsi="Times New Roman"/>
          <w:sz w:val="24"/>
          <w:szCs w:val="24"/>
        </w:rPr>
        <w:t xml:space="preserve">- Лист у </w:t>
      </w:r>
      <w:proofErr w:type="spellStart"/>
      <w:r w:rsidRPr="00B94E5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формі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94E5D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або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B94E5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, про те, </w:t>
      </w:r>
      <w:proofErr w:type="spellStart"/>
      <w:r w:rsidRPr="00B94E5D">
        <w:rPr>
          <w:rFonts w:ascii="Times New Roman" w:hAnsi="Times New Roman"/>
          <w:sz w:val="24"/>
          <w:szCs w:val="24"/>
        </w:rPr>
        <w:t>що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дотримується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вимог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B94E5D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із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захисту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B94E5D">
        <w:rPr>
          <w:rFonts w:ascii="Times New Roman" w:hAnsi="Times New Roman"/>
          <w:sz w:val="24"/>
          <w:szCs w:val="24"/>
        </w:rPr>
        <w:t>.</w:t>
      </w:r>
    </w:p>
    <w:p w:rsidR="000050A4" w:rsidRPr="00B94E5D" w:rsidRDefault="000050A4" w:rsidP="0025462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4E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94E5D">
        <w:rPr>
          <w:rFonts w:ascii="Times New Roman" w:hAnsi="Times New Roman"/>
          <w:sz w:val="24"/>
          <w:szCs w:val="24"/>
        </w:rPr>
        <w:t>Підписаний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проект договору (</w:t>
      </w:r>
      <w:proofErr w:type="spellStart"/>
      <w:r w:rsidRPr="00B94E5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B94E5D">
        <w:rPr>
          <w:rFonts w:ascii="Times New Roman" w:hAnsi="Times New Roman"/>
          <w:sz w:val="24"/>
          <w:szCs w:val="24"/>
        </w:rPr>
        <w:t xml:space="preserve"> 3).</w:t>
      </w:r>
    </w:p>
    <w:p w:rsidR="000050A4" w:rsidRPr="00B94E5D" w:rsidRDefault="000050A4" w:rsidP="000050A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4E5D">
        <w:rPr>
          <w:rFonts w:ascii="Times New Roman" w:hAnsi="Times New Roman"/>
          <w:b/>
          <w:sz w:val="24"/>
          <w:szCs w:val="24"/>
        </w:rPr>
        <w:t>Учасники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поданні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повинні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враховувати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b/>
          <w:sz w:val="24"/>
          <w:szCs w:val="24"/>
        </w:rPr>
        <w:t>норми</w:t>
      </w:r>
      <w:proofErr w:type="spellEnd"/>
      <w:r w:rsidRPr="00B94E5D">
        <w:rPr>
          <w:rFonts w:ascii="Times New Roman" w:hAnsi="Times New Roman"/>
          <w:b/>
          <w:sz w:val="24"/>
          <w:szCs w:val="24"/>
        </w:rPr>
        <w:t>*:</w:t>
      </w:r>
    </w:p>
    <w:p w:rsidR="000050A4" w:rsidRPr="00B94E5D" w:rsidRDefault="000050A4" w:rsidP="000050A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Постанови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Кабінету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Міністрів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захисту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національних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інтересів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майбутніми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позовами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держави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Україна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зв’язку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військовою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агресією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Російської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Федерації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03.03.2022 № 187,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оскільки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замовник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може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виконувати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зобов’язання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кредиторами за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якими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є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Російська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Федерація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пов’язані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країною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агресором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визначені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підпунктом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 пункту 1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цієї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Постанови;</w:t>
      </w:r>
    </w:p>
    <w:p w:rsidR="000050A4" w:rsidRPr="00B94E5D" w:rsidRDefault="000050A4" w:rsidP="000050A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Постанови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Кабінету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Міністрів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заборони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ввезення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товарів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Російської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Федерації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09.04.2022 № 426,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оскільки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цією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постановою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заборонено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ввезення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митну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територію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митному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режимі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імпорту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товарів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Російської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Федерації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050A4" w:rsidRPr="00B94E5D" w:rsidRDefault="000050A4" w:rsidP="000050A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Закону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 і свобод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громадян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правовий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режим на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тимчасово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окупованій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території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15.04.2014 № 1207-VII.</w:t>
      </w:r>
    </w:p>
    <w:p w:rsidR="000050A4" w:rsidRPr="00B94E5D" w:rsidRDefault="000050A4" w:rsidP="000050A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* </w:t>
      </w:r>
      <w:proofErr w:type="spellStart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надати</w:t>
      </w:r>
      <w:proofErr w:type="spellEnd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лист-</w:t>
      </w:r>
      <w:proofErr w:type="spellStart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підтвердження</w:t>
      </w:r>
      <w:proofErr w:type="spellEnd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довільній</w:t>
      </w:r>
      <w:proofErr w:type="spellEnd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формі</w:t>
      </w:r>
      <w:proofErr w:type="spellEnd"/>
      <w:r w:rsidRPr="00B94E5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0050A4" w:rsidRPr="00B94E5D" w:rsidRDefault="000050A4" w:rsidP="000050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E5D">
        <w:rPr>
          <w:rFonts w:ascii="Times New Roman" w:hAnsi="Times New Roman"/>
          <w:i/>
          <w:sz w:val="24"/>
          <w:szCs w:val="24"/>
        </w:rPr>
        <w:t xml:space="preserve">**У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випадку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врахування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під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час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подання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зокрема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невідповідність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зазначеним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нормативно-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правовим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актам,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пропозиція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вважатиметься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такою,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відповідає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умовам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визначеним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оголошенні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про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проведення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відкритих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торгів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Особливостями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, та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вимогам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до предмета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закупівлі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, тому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така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пропозиція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підлягатиме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4E5D">
        <w:rPr>
          <w:rFonts w:ascii="Times New Roman" w:hAnsi="Times New Roman"/>
          <w:i/>
          <w:sz w:val="24"/>
          <w:szCs w:val="24"/>
        </w:rPr>
        <w:t>відхиленню</w:t>
      </w:r>
      <w:proofErr w:type="spellEnd"/>
      <w:r w:rsidRPr="00B94E5D">
        <w:rPr>
          <w:rFonts w:ascii="Times New Roman" w:hAnsi="Times New Roman"/>
          <w:i/>
          <w:sz w:val="24"/>
          <w:szCs w:val="24"/>
        </w:rPr>
        <w:t>.</w:t>
      </w:r>
    </w:p>
    <w:p w:rsidR="000050A4" w:rsidRPr="00B94E5D" w:rsidRDefault="000050A4" w:rsidP="000050A4">
      <w:pPr>
        <w:widowControl w:val="0"/>
        <w:spacing w:after="0" w:line="240" w:lineRule="auto"/>
        <w:ind w:left="3822" w:right="-25" w:firstLine="113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50A4" w:rsidRPr="00B94E5D" w:rsidRDefault="000050A4" w:rsidP="000050A4">
      <w:pPr>
        <w:widowControl w:val="0"/>
        <w:spacing w:after="0" w:line="240" w:lineRule="auto"/>
        <w:ind w:left="3822" w:right="-25" w:firstLine="113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50A4" w:rsidRPr="00B94E5D" w:rsidRDefault="000050A4" w:rsidP="000050A4">
      <w:pPr>
        <w:widowControl w:val="0"/>
        <w:spacing w:after="0" w:line="240" w:lineRule="auto"/>
        <w:ind w:left="3822" w:right="-25" w:firstLine="113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50A4" w:rsidRPr="00B94E5D" w:rsidRDefault="000050A4" w:rsidP="000050A4">
      <w:pPr>
        <w:widowControl w:val="0"/>
        <w:spacing w:after="0" w:line="240" w:lineRule="auto"/>
        <w:ind w:left="3822" w:right="-25" w:firstLine="113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50A4" w:rsidRPr="00B94E5D" w:rsidRDefault="000050A4" w:rsidP="000050A4">
      <w:pPr>
        <w:widowControl w:val="0"/>
        <w:spacing w:after="0" w:line="240" w:lineRule="auto"/>
        <w:ind w:left="3822" w:right="-25" w:firstLine="113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24C2" w:rsidRPr="00B94E5D" w:rsidRDefault="001824C2">
      <w:pPr>
        <w:rPr>
          <w:rFonts w:ascii="Times New Roman" w:hAnsi="Times New Roman"/>
          <w:sz w:val="24"/>
          <w:szCs w:val="24"/>
          <w:lang w:val="uk-UA"/>
        </w:rPr>
      </w:pPr>
    </w:p>
    <w:sectPr w:rsidR="001824C2" w:rsidRPr="00B9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79"/>
    <w:multiLevelType w:val="hybridMultilevel"/>
    <w:tmpl w:val="25A6A132"/>
    <w:lvl w:ilvl="0" w:tplc="8CFE7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A24"/>
    <w:multiLevelType w:val="multilevel"/>
    <w:tmpl w:val="515CCDEE"/>
    <w:lvl w:ilvl="0">
      <w:start w:val="1"/>
      <w:numFmt w:val="bullet"/>
      <w:lvlText w:val="●"/>
      <w:lvlJc w:val="left"/>
      <w:pPr>
        <w:ind w:left="2202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A7"/>
    <w:rsid w:val="000050A4"/>
    <w:rsid w:val="000634BD"/>
    <w:rsid w:val="001824C2"/>
    <w:rsid w:val="002325A7"/>
    <w:rsid w:val="00254627"/>
    <w:rsid w:val="004A7771"/>
    <w:rsid w:val="00B94E5D"/>
    <w:rsid w:val="00D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F532"/>
  <w15:chartTrackingRefBased/>
  <w15:docId w15:val="{098A1F62-11AB-4D38-A281-212849E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0634BD"/>
    <w:pPr>
      <w:ind w:left="720"/>
      <w:contextualSpacing/>
    </w:pPr>
    <w:rPr>
      <w:rFonts w:cs="Calibri"/>
      <w:kern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1499</Words>
  <Characters>8549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2024-04-26T09:00:00Z</dcterms:created>
  <dcterms:modified xsi:type="dcterms:W3CDTF">2024-04-29T07:33:00Z</dcterms:modified>
</cp:coreProperties>
</file>