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2A8D2109"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815334">
        <w:rPr>
          <w:b/>
          <w:lang w:val="uk-UA"/>
        </w:rPr>
        <w:t>09</w:t>
      </w:r>
      <w:r>
        <w:rPr>
          <w:b/>
        </w:rPr>
        <w:t>.</w:t>
      </w:r>
      <w:r w:rsidR="00815334">
        <w:rPr>
          <w:b/>
          <w:lang w:val="uk-UA"/>
        </w:rPr>
        <w:t>01</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11B94522" w14:textId="77777777" w:rsidR="00815334" w:rsidRDefault="00815334" w:rsidP="00815334">
      <w:pPr>
        <w:spacing w:before="240"/>
        <w:jc w:val="center"/>
        <w:rPr>
          <w:rFonts w:ascii="Times New Roman Полужирный" w:hAnsi="Times New Roman Полужирный"/>
          <w:b/>
          <w:caps/>
          <w:sz w:val="26"/>
          <w:lang w:val="uk-UA"/>
        </w:rPr>
      </w:pPr>
      <w:bookmarkStart w:id="0" w:name="_Hlk69751896"/>
      <w:r>
        <w:rPr>
          <w:rFonts w:ascii="Times New Roman Полужирный" w:hAnsi="Times New Roman Полужирный"/>
          <w:b/>
          <w:caps/>
          <w:sz w:val="26"/>
          <w:lang w:val="uk-UA"/>
        </w:rPr>
        <w:t>Свіжі овочі</w:t>
      </w:r>
    </w:p>
    <w:p w14:paraId="0B9DEF57" w14:textId="77777777" w:rsidR="00815334" w:rsidRPr="001163BF" w:rsidRDefault="00815334" w:rsidP="00815334">
      <w:pPr>
        <w:spacing w:before="240"/>
        <w:jc w:val="center"/>
        <w:rPr>
          <w:b/>
          <w:lang w:val="uk-UA"/>
        </w:rPr>
      </w:pPr>
    </w:p>
    <w:p w14:paraId="44F382BE" w14:textId="77777777" w:rsidR="00815334" w:rsidRDefault="00815334" w:rsidP="00815334">
      <w:pPr>
        <w:jc w:val="center"/>
        <w:rPr>
          <w:b/>
        </w:rPr>
      </w:pPr>
      <w:r>
        <w:rPr>
          <w:b/>
          <w:lang w:val="uk-UA"/>
        </w:rPr>
        <w:t xml:space="preserve">Код ДК 021:2015 </w:t>
      </w:r>
      <w:r w:rsidRPr="001163BF">
        <w:rPr>
          <w:b/>
        </w:rPr>
        <w:t xml:space="preserve">03220000-9 - </w:t>
      </w:r>
      <w:proofErr w:type="spellStart"/>
      <w:r w:rsidRPr="001163BF">
        <w:rPr>
          <w:b/>
        </w:rPr>
        <w:t>Овочі</w:t>
      </w:r>
      <w:proofErr w:type="spellEnd"/>
      <w:r w:rsidRPr="001163BF">
        <w:rPr>
          <w:b/>
        </w:rPr>
        <w:t xml:space="preserve">, </w:t>
      </w:r>
      <w:proofErr w:type="spellStart"/>
      <w:r w:rsidRPr="001163BF">
        <w:rPr>
          <w:b/>
        </w:rPr>
        <w:t>фрукти</w:t>
      </w:r>
      <w:proofErr w:type="spellEnd"/>
      <w:r w:rsidRPr="001163BF">
        <w:rPr>
          <w:b/>
        </w:rPr>
        <w:t xml:space="preserve"> та </w:t>
      </w:r>
      <w:proofErr w:type="spellStart"/>
      <w:r w:rsidRPr="001163BF">
        <w:rPr>
          <w:b/>
        </w:rPr>
        <w:t>горіхи</w:t>
      </w:r>
      <w:proofErr w:type="spellEnd"/>
    </w:p>
    <w:p w14:paraId="644BFAC7" w14:textId="77777777" w:rsidR="004D74E2" w:rsidRDefault="004D74E2" w:rsidP="004D74E2">
      <w:pPr>
        <w:jc w:val="center"/>
        <w:rPr>
          <w:b/>
        </w:rPr>
      </w:pPr>
    </w:p>
    <w:bookmarkEnd w:id="0"/>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4D932092" w14:textId="77777777" w:rsidR="004D74E2" w:rsidRDefault="004D74E2" w:rsidP="004D74E2">
      <w:pPr>
        <w:jc w:val="center"/>
        <w:rPr>
          <w:b/>
        </w:rPr>
      </w:pPr>
    </w:p>
    <w:p w14:paraId="20554CDE"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7D08C064" w14:textId="42E94000" w:rsidR="004D74E2" w:rsidRDefault="004D74E2" w:rsidP="004D74E2">
      <w:pPr>
        <w:jc w:val="center"/>
        <w:rPr>
          <w:b/>
        </w:rPr>
      </w:pPr>
      <w:r w:rsidRPr="00163ECB">
        <w:rPr>
          <w:b/>
        </w:rPr>
        <w:t>202</w:t>
      </w:r>
      <w:r w:rsidR="00815334">
        <w:rPr>
          <w:b/>
          <w:lang w:val="uk-UA"/>
        </w:rPr>
        <w:t>4</w:t>
      </w:r>
      <w:r w:rsidRPr="00163ECB">
        <w:rPr>
          <w:b/>
        </w:rPr>
        <w:t xml:space="preserve"> р.</w:t>
      </w:r>
    </w:p>
    <w:p w14:paraId="53C9A77A" w14:textId="77777777" w:rsidR="004D74E2" w:rsidRPr="00163ECB" w:rsidRDefault="004D74E2" w:rsidP="004D74E2">
      <w:pPr>
        <w:jc w:val="center"/>
      </w:pP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1466967" w14:textId="77777777" w:rsidR="00815334" w:rsidRDefault="00815334" w:rsidP="00815334">
            <w:pPr>
              <w:rPr>
                <w:rFonts w:ascii="Times New Roman Полужирный" w:hAnsi="Times New Roman Полужирный"/>
                <w:b/>
                <w:caps/>
                <w:sz w:val="26"/>
                <w:lang w:val="uk-UA"/>
              </w:rPr>
            </w:pPr>
            <w:r>
              <w:rPr>
                <w:rFonts w:ascii="Times New Roman Полужирный" w:hAnsi="Times New Roman Полужирный"/>
                <w:b/>
                <w:caps/>
                <w:sz w:val="26"/>
                <w:lang w:val="uk-UA"/>
              </w:rPr>
              <w:t xml:space="preserve">Свіжі </w:t>
            </w:r>
            <w:proofErr w:type="spellStart"/>
            <w:r>
              <w:rPr>
                <w:rFonts w:ascii="Times New Roman Полужирный" w:hAnsi="Times New Roman Полужирный"/>
                <w:b/>
                <w:caps/>
                <w:sz w:val="26"/>
                <w:lang w:val="uk-UA"/>
              </w:rPr>
              <w:t>овочі</w:t>
            </w:r>
            <w:proofErr w:type="spellEnd"/>
          </w:p>
          <w:p w14:paraId="45367B97" w14:textId="19E996AF" w:rsidR="007600AB" w:rsidRPr="00815334" w:rsidRDefault="00815334" w:rsidP="00815334">
            <w:pPr>
              <w:spacing w:before="240"/>
              <w:rPr>
                <w:rFonts w:ascii="Times New Roman Полужирный" w:hAnsi="Times New Roman Полужирный"/>
                <w:b/>
                <w:caps/>
                <w:sz w:val="26"/>
                <w:lang w:val="uk-UA"/>
              </w:rPr>
            </w:pPr>
            <w:r>
              <w:rPr>
                <w:b/>
                <w:lang w:val="uk-UA"/>
              </w:rPr>
              <w:t xml:space="preserve">Код ДК 021:2015 </w:t>
            </w:r>
            <w:r w:rsidRPr="001163BF">
              <w:rPr>
                <w:b/>
              </w:rPr>
              <w:t xml:space="preserve">03220000-9 - </w:t>
            </w:r>
            <w:proofErr w:type="spellStart"/>
            <w:r w:rsidRPr="001163BF">
              <w:rPr>
                <w:b/>
              </w:rPr>
              <w:t>Овочі</w:t>
            </w:r>
            <w:proofErr w:type="spellEnd"/>
            <w:r w:rsidRPr="001163BF">
              <w:rPr>
                <w:b/>
              </w:rPr>
              <w:t xml:space="preserve">, </w:t>
            </w:r>
            <w:proofErr w:type="spellStart"/>
            <w:r w:rsidRPr="001163BF">
              <w:rPr>
                <w:b/>
              </w:rPr>
              <w:t>фрукти</w:t>
            </w:r>
            <w:proofErr w:type="spellEnd"/>
            <w:r w:rsidRPr="001163BF">
              <w:rPr>
                <w:b/>
              </w:rPr>
              <w:t xml:space="preserve"> та </w:t>
            </w:r>
            <w:proofErr w:type="spellStart"/>
            <w:r w:rsidRPr="001163BF">
              <w:rPr>
                <w:b/>
              </w:rPr>
              <w:t>горіхи</w:t>
            </w:r>
            <w:proofErr w:type="spellEnd"/>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815334"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77777777" w:rsidR="007600AB" w:rsidRPr="00B93E2F" w:rsidRDefault="007600AB"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7777777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815334"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815334"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4CE30344"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815334">
              <w:rPr>
                <w:b/>
                <w:i/>
                <w:iCs/>
                <w:sz w:val="22"/>
                <w:szCs w:val="22"/>
                <w:lang w:val="uk-UA"/>
              </w:rPr>
              <w:t>17</w:t>
            </w:r>
            <w:r w:rsidRPr="0086791A">
              <w:rPr>
                <w:b/>
                <w:i/>
                <w:iCs/>
                <w:sz w:val="22"/>
                <w:szCs w:val="22"/>
                <w:lang w:val="uk-UA"/>
              </w:rPr>
              <w:t>.</w:t>
            </w:r>
            <w:r w:rsidR="00020B3C">
              <w:rPr>
                <w:b/>
                <w:i/>
                <w:iCs/>
                <w:sz w:val="22"/>
                <w:szCs w:val="22"/>
                <w:lang w:val="uk-UA"/>
              </w:rPr>
              <w:t>01</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815334"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09115FF7" w14:textId="77777777" w:rsidR="007600AB" w:rsidRPr="00747649" w:rsidRDefault="007600AB" w:rsidP="00B62E52">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1EF42C" w14:textId="77777777" w:rsidR="007600AB" w:rsidRPr="00747649" w:rsidRDefault="007600AB" w:rsidP="00B62E52">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68A1320" w14:textId="77777777" w:rsidR="007600AB" w:rsidRPr="00747649" w:rsidRDefault="007600AB" w:rsidP="00B62E52">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77777777" w:rsidR="007600AB" w:rsidRDefault="007600AB" w:rsidP="00B62E52">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4A37659" w14:textId="77777777" w:rsidR="007600AB" w:rsidRDefault="007600AB" w:rsidP="00B62E52">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815334" w:rsidRPr="00593DC0" w14:paraId="7665CB91" w14:textId="77777777" w:rsidTr="00F50493">
        <w:tc>
          <w:tcPr>
            <w:tcW w:w="567" w:type="dxa"/>
            <w:shd w:val="clear" w:color="auto" w:fill="auto"/>
          </w:tcPr>
          <w:p w14:paraId="51014915" w14:textId="1AF2E2A5" w:rsidR="00815334" w:rsidRPr="00815334" w:rsidRDefault="00815334" w:rsidP="00F50493">
            <w:pPr>
              <w:jc w:val="both"/>
              <w:rPr>
                <w:rFonts w:ascii="Times" w:hAnsi="Times"/>
                <w:color w:val="000000"/>
                <w:lang w:val="uk-UA"/>
              </w:rPr>
            </w:pPr>
            <w:r>
              <w:rPr>
                <w:rFonts w:ascii="Times" w:hAnsi="Times"/>
                <w:color w:val="000000"/>
                <w:lang w:val="uk-UA"/>
              </w:rPr>
              <w:t>…</w:t>
            </w:r>
          </w:p>
        </w:tc>
        <w:tc>
          <w:tcPr>
            <w:tcW w:w="2978" w:type="dxa"/>
            <w:shd w:val="clear" w:color="auto" w:fill="auto"/>
            <w:vAlign w:val="bottom"/>
          </w:tcPr>
          <w:p w14:paraId="395D9DB8" w14:textId="77777777" w:rsidR="00815334" w:rsidRPr="00593DC0" w:rsidRDefault="00815334" w:rsidP="00F50493">
            <w:pPr>
              <w:widowControl w:val="0"/>
              <w:autoSpaceDE w:val="0"/>
              <w:autoSpaceDN w:val="0"/>
              <w:adjustRightInd w:val="0"/>
              <w:rPr>
                <w:rFonts w:ascii="Times" w:hAnsi="Times"/>
                <w:color w:val="000000"/>
              </w:rPr>
            </w:pPr>
          </w:p>
        </w:tc>
        <w:tc>
          <w:tcPr>
            <w:tcW w:w="979" w:type="dxa"/>
            <w:shd w:val="clear" w:color="auto" w:fill="auto"/>
          </w:tcPr>
          <w:p w14:paraId="577875AF" w14:textId="77777777" w:rsidR="00815334" w:rsidRPr="00593DC0" w:rsidRDefault="00815334" w:rsidP="00F50493">
            <w:pPr>
              <w:widowControl w:val="0"/>
              <w:autoSpaceDE w:val="0"/>
              <w:autoSpaceDN w:val="0"/>
              <w:adjustRightInd w:val="0"/>
              <w:rPr>
                <w:rFonts w:ascii="Times" w:hAnsi="Times"/>
                <w:color w:val="000000"/>
              </w:rPr>
            </w:pPr>
          </w:p>
        </w:tc>
        <w:tc>
          <w:tcPr>
            <w:tcW w:w="1423" w:type="dxa"/>
            <w:shd w:val="clear" w:color="auto" w:fill="auto"/>
          </w:tcPr>
          <w:p w14:paraId="43478C3F" w14:textId="77777777" w:rsidR="00815334" w:rsidRPr="00593DC0" w:rsidRDefault="00815334" w:rsidP="00F50493">
            <w:pPr>
              <w:widowControl w:val="0"/>
              <w:autoSpaceDE w:val="0"/>
              <w:autoSpaceDN w:val="0"/>
              <w:adjustRightInd w:val="0"/>
              <w:jc w:val="right"/>
              <w:rPr>
                <w:rFonts w:ascii="Times" w:hAnsi="Times"/>
                <w:color w:val="000000"/>
              </w:rPr>
            </w:pPr>
          </w:p>
        </w:tc>
        <w:tc>
          <w:tcPr>
            <w:tcW w:w="2134" w:type="dxa"/>
          </w:tcPr>
          <w:p w14:paraId="2ADC2647" w14:textId="77777777" w:rsidR="00815334" w:rsidRPr="00593DC0" w:rsidRDefault="00815334" w:rsidP="00F50493">
            <w:pPr>
              <w:widowControl w:val="0"/>
              <w:autoSpaceDE w:val="0"/>
              <w:autoSpaceDN w:val="0"/>
              <w:adjustRightInd w:val="0"/>
              <w:jc w:val="center"/>
              <w:rPr>
                <w:rFonts w:ascii="Times" w:hAnsi="Times"/>
                <w:color w:val="000000"/>
              </w:rPr>
            </w:pPr>
          </w:p>
        </w:tc>
        <w:tc>
          <w:tcPr>
            <w:tcW w:w="2409" w:type="dxa"/>
          </w:tcPr>
          <w:p w14:paraId="5AB54004" w14:textId="77777777" w:rsidR="00815334" w:rsidRPr="00593DC0" w:rsidRDefault="00815334" w:rsidP="00F50493">
            <w:pPr>
              <w:widowControl w:val="0"/>
              <w:autoSpaceDE w:val="0"/>
              <w:autoSpaceDN w:val="0"/>
              <w:adjustRightInd w:val="0"/>
              <w:jc w:val="right"/>
              <w:rPr>
                <w:rFonts w:ascii="Times" w:hAnsi="Times"/>
                <w:color w:val="000000"/>
              </w:rPr>
            </w:pPr>
          </w:p>
        </w:tc>
      </w:tr>
      <w:tr w:rsidR="00815334" w:rsidRPr="00593DC0" w14:paraId="40299023" w14:textId="77777777" w:rsidTr="00F50493">
        <w:tc>
          <w:tcPr>
            <w:tcW w:w="567" w:type="dxa"/>
            <w:shd w:val="clear" w:color="auto" w:fill="auto"/>
          </w:tcPr>
          <w:p w14:paraId="3C44C4DE" w14:textId="7169102C" w:rsidR="00815334" w:rsidRPr="00815334" w:rsidRDefault="00815334" w:rsidP="00F50493">
            <w:pPr>
              <w:jc w:val="both"/>
              <w:rPr>
                <w:rFonts w:ascii="Times" w:hAnsi="Times"/>
                <w:color w:val="000000"/>
                <w:lang w:val="uk-UA"/>
              </w:rPr>
            </w:pPr>
            <w:r>
              <w:rPr>
                <w:rFonts w:ascii="Times" w:hAnsi="Times"/>
                <w:color w:val="000000"/>
                <w:lang w:val="uk-UA"/>
              </w:rPr>
              <w:t>…</w:t>
            </w:r>
          </w:p>
        </w:tc>
        <w:tc>
          <w:tcPr>
            <w:tcW w:w="2978" w:type="dxa"/>
            <w:shd w:val="clear" w:color="auto" w:fill="auto"/>
            <w:vAlign w:val="bottom"/>
          </w:tcPr>
          <w:p w14:paraId="354153C3" w14:textId="77777777" w:rsidR="00815334" w:rsidRPr="00593DC0" w:rsidRDefault="00815334" w:rsidP="00F50493">
            <w:pPr>
              <w:widowControl w:val="0"/>
              <w:autoSpaceDE w:val="0"/>
              <w:autoSpaceDN w:val="0"/>
              <w:adjustRightInd w:val="0"/>
              <w:rPr>
                <w:rFonts w:ascii="Times" w:hAnsi="Times"/>
                <w:color w:val="000000"/>
              </w:rPr>
            </w:pPr>
          </w:p>
        </w:tc>
        <w:tc>
          <w:tcPr>
            <w:tcW w:w="979" w:type="dxa"/>
            <w:shd w:val="clear" w:color="auto" w:fill="auto"/>
          </w:tcPr>
          <w:p w14:paraId="263734E3" w14:textId="77777777" w:rsidR="00815334" w:rsidRPr="00593DC0" w:rsidRDefault="00815334" w:rsidP="00F50493">
            <w:pPr>
              <w:widowControl w:val="0"/>
              <w:autoSpaceDE w:val="0"/>
              <w:autoSpaceDN w:val="0"/>
              <w:adjustRightInd w:val="0"/>
              <w:rPr>
                <w:rFonts w:ascii="Times" w:hAnsi="Times"/>
                <w:color w:val="000000"/>
              </w:rPr>
            </w:pPr>
          </w:p>
        </w:tc>
        <w:tc>
          <w:tcPr>
            <w:tcW w:w="1423" w:type="dxa"/>
            <w:shd w:val="clear" w:color="auto" w:fill="auto"/>
          </w:tcPr>
          <w:p w14:paraId="2EF4A229" w14:textId="77777777" w:rsidR="00815334" w:rsidRPr="00593DC0" w:rsidRDefault="00815334" w:rsidP="00F50493">
            <w:pPr>
              <w:widowControl w:val="0"/>
              <w:autoSpaceDE w:val="0"/>
              <w:autoSpaceDN w:val="0"/>
              <w:adjustRightInd w:val="0"/>
              <w:jc w:val="right"/>
              <w:rPr>
                <w:rFonts w:ascii="Times" w:hAnsi="Times"/>
                <w:color w:val="000000"/>
              </w:rPr>
            </w:pPr>
          </w:p>
        </w:tc>
        <w:tc>
          <w:tcPr>
            <w:tcW w:w="2134" w:type="dxa"/>
          </w:tcPr>
          <w:p w14:paraId="79FDD37C" w14:textId="77777777" w:rsidR="00815334" w:rsidRPr="00593DC0" w:rsidRDefault="00815334" w:rsidP="00F50493">
            <w:pPr>
              <w:widowControl w:val="0"/>
              <w:autoSpaceDE w:val="0"/>
              <w:autoSpaceDN w:val="0"/>
              <w:adjustRightInd w:val="0"/>
              <w:jc w:val="center"/>
              <w:rPr>
                <w:rFonts w:ascii="Times" w:hAnsi="Times"/>
                <w:color w:val="000000"/>
              </w:rPr>
            </w:pPr>
          </w:p>
        </w:tc>
        <w:tc>
          <w:tcPr>
            <w:tcW w:w="2409" w:type="dxa"/>
          </w:tcPr>
          <w:p w14:paraId="19A73F06" w14:textId="77777777" w:rsidR="00815334" w:rsidRPr="00593DC0" w:rsidRDefault="00815334" w:rsidP="00F50493">
            <w:pPr>
              <w:widowControl w:val="0"/>
              <w:autoSpaceDE w:val="0"/>
              <w:autoSpaceDN w:val="0"/>
              <w:adjustRightInd w:val="0"/>
              <w:jc w:val="right"/>
              <w:rPr>
                <w:rFonts w:ascii="Times" w:hAnsi="Times"/>
                <w:color w:val="000000"/>
              </w:rPr>
            </w:pPr>
          </w:p>
        </w:tc>
      </w:tr>
      <w:tr w:rsidR="00815334" w:rsidRPr="00593DC0" w14:paraId="51C941E2" w14:textId="77777777" w:rsidTr="00F50493">
        <w:tc>
          <w:tcPr>
            <w:tcW w:w="567" w:type="dxa"/>
            <w:shd w:val="clear" w:color="auto" w:fill="auto"/>
          </w:tcPr>
          <w:p w14:paraId="19A0A1C2" w14:textId="65BC6EDC" w:rsidR="00815334" w:rsidRPr="00815334" w:rsidRDefault="00815334" w:rsidP="00F50493">
            <w:pPr>
              <w:jc w:val="both"/>
              <w:rPr>
                <w:rFonts w:ascii="Times" w:hAnsi="Times"/>
                <w:color w:val="000000"/>
                <w:lang w:val="uk-UA"/>
              </w:rPr>
            </w:pPr>
            <w:r>
              <w:rPr>
                <w:rFonts w:ascii="Times" w:hAnsi="Times"/>
                <w:color w:val="000000"/>
                <w:lang w:val="uk-UA"/>
              </w:rPr>
              <w:t>8.</w:t>
            </w:r>
          </w:p>
        </w:tc>
        <w:tc>
          <w:tcPr>
            <w:tcW w:w="2978" w:type="dxa"/>
            <w:shd w:val="clear" w:color="auto" w:fill="auto"/>
            <w:vAlign w:val="bottom"/>
          </w:tcPr>
          <w:p w14:paraId="426A4400" w14:textId="77777777" w:rsidR="00815334" w:rsidRPr="00593DC0" w:rsidRDefault="00815334" w:rsidP="00F50493">
            <w:pPr>
              <w:widowControl w:val="0"/>
              <w:autoSpaceDE w:val="0"/>
              <w:autoSpaceDN w:val="0"/>
              <w:adjustRightInd w:val="0"/>
              <w:rPr>
                <w:rFonts w:ascii="Times" w:hAnsi="Times"/>
                <w:color w:val="000000"/>
              </w:rPr>
            </w:pPr>
          </w:p>
        </w:tc>
        <w:tc>
          <w:tcPr>
            <w:tcW w:w="979" w:type="dxa"/>
            <w:shd w:val="clear" w:color="auto" w:fill="auto"/>
          </w:tcPr>
          <w:p w14:paraId="01BF9A82" w14:textId="77777777" w:rsidR="00815334" w:rsidRPr="00593DC0" w:rsidRDefault="00815334" w:rsidP="00F50493">
            <w:pPr>
              <w:widowControl w:val="0"/>
              <w:autoSpaceDE w:val="0"/>
              <w:autoSpaceDN w:val="0"/>
              <w:adjustRightInd w:val="0"/>
              <w:rPr>
                <w:rFonts w:ascii="Times" w:hAnsi="Times"/>
                <w:color w:val="000000"/>
              </w:rPr>
            </w:pPr>
          </w:p>
        </w:tc>
        <w:tc>
          <w:tcPr>
            <w:tcW w:w="1423" w:type="dxa"/>
            <w:shd w:val="clear" w:color="auto" w:fill="auto"/>
          </w:tcPr>
          <w:p w14:paraId="2E970CEC" w14:textId="77777777" w:rsidR="00815334" w:rsidRPr="00593DC0" w:rsidRDefault="00815334" w:rsidP="00F50493">
            <w:pPr>
              <w:widowControl w:val="0"/>
              <w:autoSpaceDE w:val="0"/>
              <w:autoSpaceDN w:val="0"/>
              <w:adjustRightInd w:val="0"/>
              <w:jc w:val="right"/>
              <w:rPr>
                <w:rFonts w:ascii="Times" w:hAnsi="Times"/>
                <w:color w:val="000000"/>
              </w:rPr>
            </w:pPr>
          </w:p>
        </w:tc>
        <w:tc>
          <w:tcPr>
            <w:tcW w:w="2134" w:type="dxa"/>
          </w:tcPr>
          <w:p w14:paraId="73D78D34" w14:textId="77777777" w:rsidR="00815334" w:rsidRPr="00593DC0" w:rsidRDefault="00815334" w:rsidP="00F50493">
            <w:pPr>
              <w:widowControl w:val="0"/>
              <w:autoSpaceDE w:val="0"/>
              <w:autoSpaceDN w:val="0"/>
              <w:adjustRightInd w:val="0"/>
              <w:jc w:val="center"/>
              <w:rPr>
                <w:rFonts w:ascii="Times" w:hAnsi="Times"/>
                <w:color w:val="000000"/>
              </w:rPr>
            </w:pPr>
          </w:p>
        </w:tc>
        <w:tc>
          <w:tcPr>
            <w:tcW w:w="2409" w:type="dxa"/>
          </w:tcPr>
          <w:p w14:paraId="2F510212" w14:textId="77777777" w:rsidR="00815334" w:rsidRPr="00593DC0" w:rsidRDefault="00815334"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6DD4D290" w14:textId="77777777" w:rsidR="00020B3C" w:rsidRDefault="00020B3C" w:rsidP="004D74E2">
      <w:pPr>
        <w:rPr>
          <w:rFonts w:eastAsia="Calibri"/>
          <w:b/>
        </w:rPr>
      </w:pPr>
    </w:p>
    <w:p w14:paraId="0A289A2A" w14:textId="77777777" w:rsidR="001D642F" w:rsidRDefault="001D642F" w:rsidP="00020B3C">
      <w:pPr>
        <w:rPr>
          <w:rFonts w:eastAsia="Calibri"/>
          <w:b/>
        </w:rPr>
      </w:pPr>
    </w:p>
    <w:p w14:paraId="1CD2585D" w14:textId="77777777" w:rsidR="00020B3C" w:rsidRDefault="00020B3C" w:rsidP="00020B3C">
      <w:pPr>
        <w:rPr>
          <w:rFonts w:eastAsia="Calibri"/>
          <w:b/>
        </w:rPr>
      </w:pPr>
    </w:p>
    <w:p w14:paraId="52AEE39F" w14:textId="77777777" w:rsidR="004D74E2" w:rsidRDefault="004D74E2" w:rsidP="004D74E2">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77777777" w:rsidR="004D74E2" w:rsidRPr="00BB114F" w:rsidRDefault="004D74E2" w:rsidP="004D74E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3DBBC438" w14:textId="77777777" w:rsidR="00815334" w:rsidRPr="00815334" w:rsidRDefault="00815334" w:rsidP="00815334">
      <w:pPr>
        <w:jc w:val="center"/>
        <w:rPr>
          <w:b/>
          <w:lang w:val="uk-UA"/>
        </w:rPr>
      </w:pPr>
      <w:r w:rsidRPr="00815334">
        <w:rPr>
          <w:b/>
          <w:lang w:val="uk-UA"/>
        </w:rPr>
        <w:t xml:space="preserve">Свіжі овочі </w:t>
      </w:r>
    </w:p>
    <w:p w14:paraId="76C5C2B5" w14:textId="6763613F" w:rsidR="00020B3C" w:rsidRDefault="00815334" w:rsidP="00815334">
      <w:pPr>
        <w:jc w:val="center"/>
        <w:rPr>
          <w:b/>
          <w:lang w:val="uk-UA"/>
        </w:rPr>
      </w:pPr>
      <w:r w:rsidRPr="00815334">
        <w:rPr>
          <w:b/>
          <w:lang w:val="uk-UA"/>
        </w:rPr>
        <w:t>ДК 021:2015 - 03220000-9 овочі, фрукти та горіхи</w:t>
      </w:r>
    </w:p>
    <w:p w14:paraId="301D6B7D" w14:textId="77777777" w:rsidR="00815334" w:rsidRDefault="00815334" w:rsidP="00815334">
      <w:pPr>
        <w:jc w:val="center"/>
        <w:rPr>
          <w:b/>
        </w:rPr>
      </w:pP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3840"/>
        <w:gridCol w:w="1086"/>
        <w:gridCol w:w="1322"/>
        <w:gridCol w:w="2115"/>
      </w:tblGrid>
      <w:tr w:rsidR="00815334" w:rsidRPr="00A7039A" w14:paraId="509D94B0" w14:textId="77777777" w:rsidTr="00EE7AA9">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8A96D88" w14:textId="77777777" w:rsidR="00815334" w:rsidRPr="00A7039A" w:rsidRDefault="00815334" w:rsidP="00EE7AA9">
            <w:pPr>
              <w:widowControl w:val="0"/>
              <w:suppressAutoHyphens/>
              <w:autoSpaceDE w:val="0"/>
              <w:jc w:val="both"/>
              <w:rPr>
                <w:b/>
                <w:bCs/>
                <w:sz w:val="22"/>
                <w:szCs w:val="22"/>
                <w:lang w:eastAsia="zh-CN"/>
              </w:rPr>
            </w:pPr>
            <w:r w:rsidRPr="00A7039A">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DBCCC0" w14:textId="77777777" w:rsidR="00815334" w:rsidRPr="00A7039A" w:rsidRDefault="00815334" w:rsidP="00EE7AA9">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94AD37D" w14:textId="77777777" w:rsidR="00815334" w:rsidRPr="00A7039A" w:rsidRDefault="00815334" w:rsidP="00EE7AA9">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A05845" w14:textId="77777777" w:rsidR="00815334" w:rsidRPr="00A7039A" w:rsidRDefault="00815334" w:rsidP="00EE7AA9">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0067448F" w14:textId="77777777" w:rsidR="00815334" w:rsidRPr="00A7039A" w:rsidRDefault="00815334" w:rsidP="00EE7AA9">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14BDCE3C" w14:textId="77777777" w:rsidR="00815334" w:rsidRPr="00A7039A" w:rsidRDefault="00815334" w:rsidP="00EE7AA9">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815334" w:rsidRPr="00A7039A" w14:paraId="72E5F5FE" w14:textId="77777777" w:rsidTr="00EE7AA9">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5DF152"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56FFAA7C" w14:textId="77777777" w:rsidR="00815334" w:rsidRPr="00A7039A" w:rsidRDefault="00815334" w:rsidP="00EE7AA9">
            <w:pPr>
              <w:widowControl w:val="0"/>
              <w:suppressAutoHyphens/>
              <w:autoSpaceDE w:val="0"/>
              <w:jc w:val="center"/>
              <w:rPr>
                <w:bCs/>
                <w:sz w:val="22"/>
                <w:szCs w:val="22"/>
                <w:lang w:eastAsia="zh-CN"/>
              </w:rPr>
            </w:pPr>
            <w:proofErr w:type="spellStart"/>
            <w:r w:rsidRPr="00A7039A">
              <w:rPr>
                <w:rFonts w:eastAsia="Times New Roman"/>
                <w:sz w:val="22"/>
                <w:szCs w:val="22"/>
              </w:rPr>
              <w:t>Огірки</w:t>
            </w:r>
            <w:proofErr w:type="spellEnd"/>
            <w:r w:rsidRPr="00A7039A">
              <w:rPr>
                <w:rFonts w:eastAsia="Times New Roman"/>
                <w:sz w:val="22"/>
                <w:szCs w:val="22"/>
              </w:rPr>
              <w:t xml:space="preserve"> </w:t>
            </w:r>
            <w:proofErr w:type="spellStart"/>
            <w:r w:rsidRPr="00A7039A">
              <w:rPr>
                <w:rFonts w:eastAsia="Times New Roman"/>
                <w:sz w:val="22"/>
                <w:szCs w:val="22"/>
              </w:rPr>
              <w:t>свіжі</w:t>
            </w:r>
            <w:proofErr w:type="spellEnd"/>
            <w:r w:rsidRPr="00A7039A">
              <w:rPr>
                <w:rFonts w:eastAsia="Times New Roman"/>
                <w:sz w:val="22"/>
                <w:szCs w:val="22"/>
              </w:rPr>
              <w:t xml:space="preserve">                    </w:t>
            </w:r>
          </w:p>
        </w:tc>
        <w:tc>
          <w:tcPr>
            <w:tcW w:w="3840" w:type="dxa"/>
            <w:tcBorders>
              <w:top w:val="single" w:sz="4" w:space="0" w:color="auto"/>
              <w:left w:val="single" w:sz="4" w:space="0" w:color="auto"/>
              <w:right w:val="single" w:sz="4" w:space="0" w:color="auto"/>
            </w:tcBorders>
            <w:vAlign w:val="center"/>
          </w:tcPr>
          <w:p w14:paraId="293C2CC4" w14:textId="77777777" w:rsidR="00815334" w:rsidRPr="00A7039A" w:rsidRDefault="00815334" w:rsidP="00EE7AA9">
            <w:pPr>
              <w:widowControl w:val="0"/>
              <w:suppressAutoHyphens/>
              <w:autoSpaceDE w:val="0"/>
              <w:jc w:val="both"/>
              <w:rPr>
                <w:bCs/>
                <w:sz w:val="22"/>
                <w:szCs w:val="22"/>
                <w:lang w:eastAsia="zh-CN"/>
              </w:rPr>
            </w:pPr>
            <w:proofErr w:type="spellStart"/>
            <w:r w:rsidRPr="00A7039A">
              <w:rPr>
                <w:bCs/>
                <w:sz w:val="22"/>
                <w:szCs w:val="22"/>
                <w:lang w:eastAsia="zh-CN"/>
              </w:rPr>
              <w:t>Огірки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калібровані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048E2D41" w14:textId="0219AAF8" w:rsidR="00815334" w:rsidRPr="00A7039A" w:rsidRDefault="00815334" w:rsidP="00EE7AA9">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Pr>
                <w:bCs/>
                <w:sz w:val="22"/>
                <w:szCs w:val="22"/>
                <w:lang w:val="en-US" w:eastAsia="zh-CN"/>
              </w:rPr>
              <w:t xml:space="preserve"> </w:t>
            </w:r>
            <w:r>
              <w:rPr>
                <w:bCs/>
                <w:sz w:val="22"/>
                <w:szCs w:val="22"/>
                <w:lang w:val="uk-UA" w:eastAsia="zh-CN"/>
              </w:rPr>
              <w:t>ґрунту</w:t>
            </w:r>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5D6AC61E" w14:textId="6CAAAA1B" w:rsidR="00815334" w:rsidRPr="00A7039A" w:rsidRDefault="00815334" w:rsidP="00EE7AA9">
            <w:pPr>
              <w:widowControl w:val="0"/>
              <w:suppressAutoHyphens/>
              <w:autoSpaceDE w:val="0"/>
              <w:jc w:val="center"/>
              <w:rPr>
                <w:b/>
                <w:bCs/>
                <w:sz w:val="22"/>
                <w:szCs w:val="22"/>
                <w:lang w:eastAsia="zh-CN"/>
              </w:rPr>
            </w:pPr>
            <w:r>
              <w:rPr>
                <w:rFonts w:eastAsia="Times New Roman"/>
                <w:sz w:val="22"/>
                <w:szCs w:val="22"/>
                <w:lang w:val="en-US"/>
              </w:rPr>
              <w:t>200</w:t>
            </w:r>
            <w:r w:rsidRPr="00A7039A">
              <w:rPr>
                <w:rFonts w:eastAsia="Times New Roman"/>
                <w:sz w:val="22"/>
                <w:szCs w:val="22"/>
              </w:rPr>
              <w:t xml:space="preserve">0 </w:t>
            </w:r>
            <w:r w:rsidRPr="00A7039A">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643F4CE1"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6B7547BA" w14:textId="51299C0D"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0D4D8B4E"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0D2170A6" w14:textId="77777777" w:rsidTr="00EE7AA9">
        <w:trPr>
          <w:trHeight w:val="1511"/>
          <w:jc w:val="center"/>
        </w:trPr>
        <w:tc>
          <w:tcPr>
            <w:tcW w:w="562" w:type="dxa"/>
            <w:tcBorders>
              <w:top w:val="single" w:sz="4" w:space="0" w:color="auto"/>
              <w:left w:val="single" w:sz="4" w:space="0" w:color="auto"/>
              <w:bottom w:val="single" w:sz="4" w:space="0" w:color="auto"/>
              <w:right w:val="single" w:sz="4" w:space="0" w:color="auto"/>
            </w:tcBorders>
            <w:vAlign w:val="center"/>
          </w:tcPr>
          <w:p w14:paraId="7B1AF620" w14:textId="77777777" w:rsidR="00815334" w:rsidRPr="00A7039A" w:rsidRDefault="00815334" w:rsidP="00EE7AA9">
            <w:pPr>
              <w:widowControl w:val="0"/>
              <w:suppressAutoHyphens/>
              <w:autoSpaceDE w:val="0"/>
              <w:jc w:val="both"/>
              <w:rPr>
                <w:bCs/>
                <w:sz w:val="22"/>
                <w:szCs w:val="22"/>
                <w:lang w:eastAsia="zh-CN"/>
              </w:rPr>
            </w:pPr>
          </w:p>
          <w:p w14:paraId="54611632"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14:paraId="2B9D5DA6" w14:textId="77777777" w:rsidR="00815334" w:rsidRPr="00A7039A" w:rsidRDefault="00815334" w:rsidP="00EE7AA9">
            <w:pPr>
              <w:widowControl w:val="0"/>
              <w:suppressAutoHyphens/>
              <w:autoSpaceDE w:val="0"/>
              <w:jc w:val="center"/>
              <w:rPr>
                <w:bCs/>
                <w:sz w:val="22"/>
                <w:szCs w:val="22"/>
                <w:lang w:eastAsia="zh-CN"/>
              </w:rPr>
            </w:pPr>
            <w:bookmarkStart w:id="6" w:name="OLE_LINK5"/>
            <w:bookmarkStart w:id="7" w:name="OLE_LINK6"/>
            <w:proofErr w:type="spellStart"/>
            <w:r w:rsidRPr="00A7039A">
              <w:rPr>
                <w:rFonts w:eastAsia="Times New Roman"/>
                <w:sz w:val="22"/>
                <w:szCs w:val="22"/>
              </w:rPr>
              <w:t>Помідори</w:t>
            </w:r>
            <w:proofErr w:type="spellEnd"/>
            <w:r w:rsidRPr="00A7039A">
              <w:rPr>
                <w:rFonts w:eastAsia="Times New Roman"/>
                <w:sz w:val="22"/>
                <w:szCs w:val="22"/>
              </w:rPr>
              <w:t xml:space="preserve"> </w:t>
            </w:r>
            <w:proofErr w:type="spellStart"/>
            <w:r w:rsidRPr="00A7039A">
              <w:rPr>
                <w:rFonts w:eastAsia="Times New Roman"/>
                <w:sz w:val="22"/>
                <w:szCs w:val="22"/>
              </w:rPr>
              <w:t>свіжі</w:t>
            </w:r>
            <w:proofErr w:type="spellEnd"/>
            <w:r w:rsidRPr="00A7039A">
              <w:rPr>
                <w:rFonts w:eastAsia="Times New Roman"/>
                <w:sz w:val="22"/>
                <w:szCs w:val="22"/>
              </w:rPr>
              <w:t xml:space="preserve">                    </w:t>
            </w:r>
            <w:bookmarkEnd w:id="6"/>
            <w:bookmarkEnd w:id="7"/>
          </w:p>
        </w:tc>
        <w:tc>
          <w:tcPr>
            <w:tcW w:w="3840" w:type="dxa"/>
            <w:tcBorders>
              <w:left w:val="single" w:sz="4" w:space="0" w:color="auto"/>
              <w:right w:val="single" w:sz="4" w:space="0" w:color="auto"/>
            </w:tcBorders>
            <w:vAlign w:val="center"/>
          </w:tcPr>
          <w:p w14:paraId="4F1E68D8" w14:textId="77777777" w:rsidR="00815334" w:rsidRPr="00A7039A" w:rsidRDefault="00815334" w:rsidP="00EE7AA9">
            <w:pPr>
              <w:widowControl w:val="0"/>
              <w:suppressAutoHyphens/>
              <w:autoSpaceDE w:val="0"/>
              <w:jc w:val="both"/>
              <w:rPr>
                <w:bCs/>
                <w:sz w:val="22"/>
                <w:szCs w:val="22"/>
                <w:lang w:eastAsia="zh-CN"/>
              </w:rPr>
            </w:pPr>
            <w:proofErr w:type="spellStart"/>
            <w:r w:rsidRPr="00A7039A">
              <w:rPr>
                <w:bCs/>
                <w:sz w:val="22"/>
                <w:szCs w:val="22"/>
                <w:lang w:eastAsia="zh-CN"/>
              </w:rPr>
              <w:t>Помідори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рожевого</w:t>
            </w:r>
            <w:proofErr w:type="spellEnd"/>
            <w:r w:rsidRPr="00A7039A">
              <w:rPr>
                <w:bCs/>
                <w:sz w:val="22"/>
                <w:szCs w:val="22"/>
                <w:lang w:eastAsia="zh-CN"/>
              </w:rPr>
              <w:t xml:space="preserve"> </w:t>
            </w:r>
            <w:proofErr w:type="spellStart"/>
            <w:r w:rsidRPr="00A7039A">
              <w:rPr>
                <w:bCs/>
                <w:sz w:val="22"/>
                <w:szCs w:val="22"/>
                <w:lang w:eastAsia="zh-CN"/>
              </w:rPr>
              <w:t>або</w:t>
            </w:r>
            <w:proofErr w:type="spellEnd"/>
            <w:r w:rsidRPr="00A7039A">
              <w:rPr>
                <w:bCs/>
                <w:sz w:val="22"/>
                <w:szCs w:val="22"/>
                <w:lang w:eastAsia="zh-CN"/>
              </w:rPr>
              <w:t xml:space="preserve"> </w:t>
            </w:r>
            <w:proofErr w:type="spellStart"/>
            <w:r w:rsidRPr="00A7039A">
              <w:rPr>
                <w:bCs/>
                <w:sz w:val="22"/>
                <w:szCs w:val="22"/>
                <w:lang w:eastAsia="zh-CN"/>
              </w:rPr>
              <w:t>червоного</w:t>
            </w:r>
            <w:proofErr w:type="spellEnd"/>
            <w:r w:rsidRPr="00A7039A">
              <w:rPr>
                <w:bCs/>
                <w:sz w:val="22"/>
                <w:szCs w:val="22"/>
                <w:lang w:eastAsia="zh-CN"/>
              </w:rPr>
              <w:t xml:space="preserve"> </w:t>
            </w:r>
            <w:proofErr w:type="spellStart"/>
            <w:r w:rsidRPr="00A7039A">
              <w:rPr>
                <w:bCs/>
                <w:sz w:val="22"/>
                <w:szCs w:val="22"/>
                <w:lang w:eastAsia="zh-CN"/>
              </w:rPr>
              <w:t>ступеню</w:t>
            </w:r>
            <w:proofErr w:type="spellEnd"/>
            <w:r w:rsidRPr="00A7039A">
              <w:rPr>
                <w:bCs/>
                <w:sz w:val="22"/>
                <w:szCs w:val="22"/>
                <w:lang w:eastAsia="zh-CN"/>
              </w:rPr>
              <w:t xml:space="preserve"> </w:t>
            </w:r>
            <w:proofErr w:type="spellStart"/>
            <w:r w:rsidRPr="00A7039A">
              <w:rPr>
                <w:bCs/>
                <w:sz w:val="22"/>
                <w:szCs w:val="22"/>
                <w:lang w:eastAsia="zh-CN"/>
              </w:rPr>
              <w:t>зрілості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5CA90181" w14:textId="15E6B50A" w:rsidR="00815334" w:rsidRPr="00A7039A" w:rsidRDefault="00815334" w:rsidP="00EE7AA9">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sidRPr="00A7039A">
              <w:rPr>
                <w:bCs/>
                <w:sz w:val="22"/>
                <w:szCs w:val="22"/>
                <w:lang w:eastAsia="zh-CN"/>
              </w:rPr>
              <w:t xml:space="preserve"> </w:t>
            </w:r>
            <w:proofErr w:type="spellStart"/>
            <w:r w:rsidRPr="00A7039A">
              <w:rPr>
                <w:bCs/>
                <w:sz w:val="22"/>
                <w:szCs w:val="22"/>
                <w:lang w:eastAsia="zh-CN"/>
              </w:rPr>
              <w:t>ґрунту</w:t>
            </w:r>
            <w:proofErr w:type="spellEnd"/>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tcPr>
          <w:p w14:paraId="5AABA64D" w14:textId="5FB2163F" w:rsidR="00815334" w:rsidRPr="00A7039A" w:rsidRDefault="00815334" w:rsidP="00EE7AA9">
            <w:pPr>
              <w:widowControl w:val="0"/>
              <w:suppressAutoHyphens/>
              <w:autoSpaceDE w:val="0"/>
              <w:jc w:val="center"/>
              <w:rPr>
                <w:color w:val="000000"/>
                <w:sz w:val="22"/>
                <w:szCs w:val="22"/>
              </w:rPr>
            </w:pPr>
            <w:r>
              <w:rPr>
                <w:color w:val="000000"/>
                <w:sz w:val="22"/>
                <w:szCs w:val="22"/>
                <w:lang w:val="uk-UA"/>
              </w:rPr>
              <w:t>20</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0617BC28"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5799F863" w14:textId="55FB12C5"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48DACE19"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3C3B300E" w14:textId="77777777" w:rsidTr="00EE7AA9">
        <w:trPr>
          <w:trHeight w:val="172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EB426E"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3.</w:t>
            </w:r>
          </w:p>
        </w:tc>
        <w:tc>
          <w:tcPr>
            <w:tcW w:w="1701" w:type="dxa"/>
            <w:tcBorders>
              <w:top w:val="single" w:sz="4" w:space="0" w:color="auto"/>
              <w:left w:val="single" w:sz="4" w:space="0" w:color="auto"/>
              <w:bottom w:val="single" w:sz="4" w:space="0" w:color="auto"/>
              <w:right w:val="single" w:sz="4" w:space="0" w:color="auto"/>
            </w:tcBorders>
          </w:tcPr>
          <w:p w14:paraId="1A6063A9" w14:textId="77777777" w:rsidR="00815334" w:rsidRPr="00A7039A" w:rsidRDefault="00815334" w:rsidP="00EE7AA9">
            <w:pPr>
              <w:widowControl w:val="0"/>
              <w:suppressAutoHyphens/>
              <w:autoSpaceDE w:val="0"/>
              <w:jc w:val="center"/>
              <w:rPr>
                <w:sz w:val="22"/>
                <w:szCs w:val="22"/>
              </w:rPr>
            </w:pPr>
          </w:p>
          <w:p w14:paraId="7EDBFADF" w14:textId="77777777" w:rsidR="00815334" w:rsidRPr="00A7039A" w:rsidRDefault="00815334" w:rsidP="00EE7AA9">
            <w:pPr>
              <w:widowControl w:val="0"/>
              <w:suppressAutoHyphens/>
              <w:autoSpaceDE w:val="0"/>
              <w:jc w:val="center"/>
              <w:rPr>
                <w:sz w:val="22"/>
                <w:szCs w:val="22"/>
              </w:rPr>
            </w:pPr>
          </w:p>
          <w:p w14:paraId="58342ADB" w14:textId="77777777" w:rsidR="00815334" w:rsidRPr="00A7039A" w:rsidRDefault="00815334" w:rsidP="00EE7AA9">
            <w:pPr>
              <w:widowControl w:val="0"/>
              <w:suppressAutoHyphens/>
              <w:autoSpaceDE w:val="0"/>
              <w:jc w:val="center"/>
              <w:rPr>
                <w:sz w:val="22"/>
                <w:szCs w:val="22"/>
              </w:rPr>
            </w:pPr>
          </w:p>
          <w:p w14:paraId="645CF856" w14:textId="77777777" w:rsidR="00815334" w:rsidRPr="00A7039A" w:rsidRDefault="00815334" w:rsidP="00EE7AA9">
            <w:pPr>
              <w:widowControl w:val="0"/>
              <w:suppressAutoHyphens/>
              <w:autoSpaceDE w:val="0"/>
              <w:jc w:val="center"/>
              <w:rPr>
                <w:sz w:val="22"/>
                <w:szCs w:val="22"/>
              </w:rPr>
            </w:pPr>
          </w:p>
          <w:p w14:paraId="5DAFE0D8" w14:textId="77777777" w:rsidR="00815334" w:rsidRPr="00A7039A" w:rsidRDefault="00815334" w:rsidP="00EE7AA9">
            <w:pPr>
              <w:widowControl w:val="0"/>
              <w:suppressAutoHyphens/>
              <w:autoSpaceDE w:val="0"/>
              <w:jc w:val="center"/>
              <w:rPr>
                <w:sz w:val="22"/>
                <w:szCs w:val="22"/>
              </w:rPr>
            </w:pPr>
          </w:p>
          <w:p w14:paraId="3F51A3FF" w14:textId="77777777" w:rsidR="00815334" w:rsidRPr="00A7039A" w:rsidRDefault="00815334" w:rsidP="00EE7AA9">
            <w:pPr>
              <w:widowControl w:val="0"/>
              <w:suppressAutoHyphens/>
              <w:autoSpaceDE w:val="0"/>
              <w:jc w:val="center"/>
              <w:rPr>
                <w:rFonts w:eastAsia="Times New Roman"/>
                <w:sz w:val="22"/>
                <w:szCs w:val="22"/>
              </w:rPr>
            </w:pPr>
            <w:r w:rsidRPr="00A7039A">
              <w:rPr>
                <w:sz w:val="22"/>
                <w:szCs w:val="22"/>
              </w:rPr>
              <w:t>Буряк</w:t>
            </w:r>
            <w:r w:rsidRPr="00A7039A">
              <w:rPr>
                <w:bCs/>
                <w:sz w:val="22"/>
                <w:szCs w:val="22"/>
              </w:rPr>
              <w:t xml:space="preserve"> </w:t>
            </w:r>
            <w:proofErr w:type="spellStart"/>
            <w:r w:rsidRPr="00A7039A">
              <w:rPr>
                <w:bCs/>
                <w:sz w:val="22"/>
                <w:szCs w:val="22"/>
              </w:rPr>
              <w:t>столовий</w:t>
            </w:r>
            <w:proofErr w:type="spellEnd"/>
            <w:r w:rsidRPr="00A7039A">
              <w:rPr>
                <w:bCs/>
                <w:sz w:val="22"/>
                <w:szCs w:val="22"/>
              </w:rPr>
              <w:t xml:space="preserve"> </w:t>
            </w:r>
            <w:proofErr w:type="spellStart"/>
            <w:r w:rsidRPr="00A7039A">
              <w:rPr>
                <w:bCs/>
                <w:sz w:val="22"/>
                <w:szCs w:val="22"/>
              </w:rPr>
              <w:t>свіжий</w:t>
            </w:r>
            <w:proofErr w:type="spellEnd"/>
            <w:r w:rsidRPr="00A7039A">
              <w:rPr>
                <w:rFonts w:eastAsia="Times New Roman"/>
                <w:sz w:val="22"/>
                <w:szCs w:val="22"/>
              </w:rPr>
              <w:t xml:space="preserve">                         </w:t>
            </w:r>
          </w:p>
        </w:tc>
        <w:tc>
          <w:tcPr>
            <w:tcW w:w="3840" w:type="dxa"/>
            <w:tcBorders>
              <w:left w:val="single" w:sz="4" w:space="0" w:color="auto"/>
              <w:right w:val="single" w:sz="4" w:space="0" w:color="auto"/>
            </w:tcBorders>
            <w:vAlign w:val="center"/>
          </w:tcPr>
          <w:p w14:paraId="3A0D4C32" w14:textId="77777777" w:rsidR="00815334" w:rsidRPr="00A7039A" w:rsidRDefault="00815334" w:rsidP="00EE7AA9">
            <w:pPr>
              <w:widowControl w:val="0"/>
              <w:suppressAutoHyphens/>
              <w:autoSpaceDE w:val="0"/>
              <w:rPr>
                <w:bCs/>
                <w:lang w:eastAsia="zh-CN"/>
              </w:rPr>
            </w:pPr>
            <w:r w:rsidRPr="00A7039A">
              <w:rPr>
                <w:bCs/>
                <w:sz w:val="22"/>
                <w:szCs w:val="22"/>
                <w:lang w:eastAsia="zh-CN"/>
              </w:rPr>
              <w:t xml:space="preserve">Буряк </w:t>
            </w:r>
            <w:proofErr w:type="spellStart"/>
            <w:r w:rsidRPr="00A7039A">
              <w:rPr>
                <w:bCs/>
                <w:sz w:val="22"/>
                <w:szCs w:val="22"/>
                <w:lang w:eastAsia="zh-CN"/>
              </w:rPr>
              <w:t>столовий</w:t>
            </w:r>
            <w:proofErr w:type="spellEnd"/>
            <w:r w:rsidRPr="00A7039A">
              <w:rPr>
                <w:bCs/>
                <w:sz w:val="22"/>
                <w:szCs w:val="22"/>
                <w:lang w:eastAsia="zh-CN"/>
              </w:rPr>
              <w:t xml:space="preserve"> </w:t>
            </w:r>
            <w:proofErr w:type="spellStart"/>
            <w:r w:rsidRPr="00A7039A">
              <w:rPr>
                <w:bCs/>
                <w:sz w:val="22"/>
                <w:szCs w:val="22"/>
                <w:lang w:eastAsia="zh-CN"/>
              </w:rPr>
              <w:t>свіжий</w:t>
            </w:r>
            <w:proofErr w:type="spellEnd"/>
            <w:r w:rsidRPr="00A7039A">
              <w:rPr>
                <w:bCs/>
                <w:sz w:val="22"/>
                <w:szCs w:val="22"/>
                <w:lang w:eastAsia="zh-CN"/>
              </w:rPr>
              <w:t xml:space="preserve"> повинен бути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5-10 см., очищений </w:t>
            </w:r>
            <w:proofErr w:type="spellStart"/>
            <w:r w:rsidRPr="00A7039A">
              <w:rPr>
                <w:bCs/>
                <w:sz w:val="22"/>
                <w:szCs w:val="22"/>
                <w:lang w:eastAsia="zh-CN"/>
              </w:rPr>
              <w:t>від</w:t>
            </w:r>
            <w:proofErr w:type="spellEnd"/>
            <w:r w:rsidRPr="00A7039A">
              <w:rPr>
                <w:bCs/>
                <w:sz w:val="22"/>
                <w:szCs w:val="22"/>
                <w:lang w:eastAsia="zh-CN"/>
              </w:rPr>
              <w:t xml:space="preserve"> </w:t>
            </w:r>
            <w:proofErr w:type="spellStart"/>
            <w:r w:rsidRPr="00A7039A">
              <w:rPr>
                <w:bCs/>
                <w:sz w:val="22"/>
                <w:szCs w:val="22"/>
                <w:lang w:eastAsia="zh-CN"/>
              </w:rPr>
              <w:t>землі</w:t>
            </w:r>
            <w:proofErr w:type="spellEnd"/>
            <w:r w:rsidRPr="00A7039A">
              <w:rPr>
                <w:bCs/>
                <w:sz w:val="22"/>
                <w:szCs w:val="22"/>
                <w:lang w:eastAsia="zh-CN"/>
              </w:rPr>
              <w:t xml:space="preserve"> сухим способом, </w:t>
            </w:r>
            <w:proofErr w:type="spellStart"/>
            <w:r w:rsidRPr="00A7039A">
              <w:rPr>
                <w:bCs/>
                <w:sz w:val="22"/>
                <w:szCs w:val="22"/>
                <w:lang w:eastAsia="zh-CN"/>
              </w:rPr>
              <w:t>однорідний</w:t>
            </w:r>
            <w:proofErr w:type="spellEnd"/>
            <w:r w:rsidRPr="00A7039A">
              <w:rPr>
                <w:bCs/>
                <w:sz w:val="22"/>
                <w:szCs w:val="22"/>
                <w:lang w:eastAsia="zh-CN"/>
              </w:rPr>
              <w:t xml:space="preserve"> за формою та </w:t>
            </w:r>
            <w:proofErr w:type="spellStart"/>
            <w:r w:rsidRPr="00A7039A">
              <w:rPr>
                <w:bCs/>
                <w:sz w:val="22"/>
                <w:szCs w:val="22"/>
                <w:lang w:eastAsia="zh-CN"/>
              </w:rPr>
              <w:t>забарвленням</w:t>
            </w:r>
            <w:proofErr w:type="spellEnd"/>
            <w:r w:rsidRPr="00A7039A">
              <w:rPr>
                <w:bCs/>
                <w:sz w:val="22"/>
                <w:szCs w:val="22"/>
                <w:lang w:eastAsia="zh-CN"/>
              </w:rPr>
              <w:t xml:space="preserve">, </w:t>
            </w:r>
            <w:proofErr w:type="spellStart"/>
            <w:r w:rsidRPr="00A7039A">
              <w:rPr>
                <w:bCs/>
                <w:sz w:val="22"/>
                <w:szCs w:val="22"/>
                <w:lang w:eastAsia="zh-CN"/>
              </w:rPr>
              <w:t>каліброваним</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в </w:t>
            </w:r>
            <w:proofErr w:type="spellStart"/>
            <w:r w:rsidRPr="00A7039A">
              <w:rPr>
                <w:bCs/>
                <w:sz w:val="22"/>
                <w:szCs w:val="22"/>
                <w:lang w:eastAsia="zh-CN"/>
              </w:rPr>
              <w:t>сітчасті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полімерні</w:t>
            </w:r>
            <w:proofErr w:type="spellEnd"/>
            <w:r w:rsidRPr="00A7039A">
              <w:rPr>
                <w:bCs/>
                <w:sz w:val="22"/>
                <w:szCs w:val="22"/>
                <w:lang w:eastAsia="zh-CN"/>
              </w:rPr>
              <w:t xml:space="preserve"> </w:t>
            </w:r>
            <w:proofErr w:type="spellStart"/>
            <w:r w:rsidRPr="00A7039A">
              <w:rPr>
                <w:bCs/>
                <w:sz w:val="22"/>
                <w:szCs w:val="22"/>
                <w:lang w:eastAsia="zh-CN"/>
              </w:rPr>
              <w:t>мішки</w:t>
            </w:r>
            <w:proofErr w:type="spellEnd"/>
            <w:r w:rsidRPr="00A7039A">
              <w:rPr>
                <w:bCs/>
                <w:sz w:val="22"/>
                <w:szCs w:val="22"/>
                <w:lang w:eastAsia="zh-CN"/>
              </w:rPr>
              <w:t xml:space="preserve"> до 10 кг.</w:t>
            </w:r>
          </w:p>
        </w:tc>
        <w:tc>
          <w:tcPr>
            <w:tcW w:w="1086" w:type="dxa"/>
            <w:tcBorders>
              <w:top w:val="single" w:sz="4" w:space="0" w:color="auto"/>
              <w:left w:val="single" w:sz="4" w:space="0" w:color="auto"/>
              <w:bottom w:val="single" w:sz="4" w:space="0" w:color="auto"/>
              <w:right w:val="single" w:sz="4" w:space="0" w:color="auto"/>
            </w:tcBorders>
          </w:tcPr>
          <w:p w14:paraId="2B30FCD9" w14:textId="14535F6D" w:rsidR="00815334" w:rsidRPr="00A7039A" w:rsidRDefault="00815334" w:rsidP="00EE7AA9">
            <w:pPr>
              <w:widowControl w:val="0"/>
              <w:suppressAutoHyphens/>
              <w:autoSpaceDE w:val="0"/>
              <w:jc w:val="center"/>
              <w:rPr>
                <w:color w:val="000000"/>
                <w:sz w:val="22"/>
                <w:szCs w:val="22"/>
              </w:rPr>
            </w:pPr>
            <w:r>
              <w:rPr>
                <w:color w:val="000000"/>
                <w:sz w:val="22"/>
                <w:szCs w:val="22"/>
                <w:lang w:val="uk-UA"/>
              </w:rPr>
              <w:t>2</w:t>
            </w:r>
            <w:r w:rsidRPr="00A7039A">
              <w:rPr>
                <w:color w:val="000000"/>
                <w:sz w:val="22"/>
                <w:szCs w:val="22"/>
              </w:rPr>
              <w:t xml:space="preserve"> </w:t>
            </w:r>
            <w:r>
              <w:rPr>
                <w:color w:val="000000"/>
                <w:sz w:val="22"/>
                <w:szCs w:val="22"/>
                <w:lang w:val="uk-UA"/>
              </w:rPr>
              <w:t>5</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1160CCC7"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499CADC2" w14:textId="5A074585"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w:t>
            </w:r>
            <w:r>
              <w:rPr>
                <w:bCs/>
                <w:sz w:val="22"/>
                <w:szCs w:val="22"/>
                <w:lang w:val="uk-UA" w:eastAsia="zh-CN"/>
              </w:rPr>
              <w:t>24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1AC2BF8C"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71DF12EF" w14:textId="77777777" w:rsidTr="00EE7AA9">
        <w:trPr>
          <w:trHeight w:val="1022"/>
          <w:jc w:val="center"/>
        </w:trPr>
        <w:tc>
          <w:tcPr>
            <w:tcW w:w="562" w:type="dxa"/>
            <w:tcBorders>
              <w:top w:val="single" w:sz="4" w:space="0" w:color="auto"/>
              <w:left w:val="single" w:sz="4" w:space="0" w:color="auto"/>
              <w:bottom w:val="single" w:sz="4" w:space="0" w:color="auto"/>
              <w:right w:val="single" w:sz="4" w:space="0" w:color="auto"/>
            </w:tcBorders>
            <w:vAlign w:val="center"/>
          </w:tcPr>
          <w:p w14:paraId="45AF6CE4"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4.</w:t>
            </w:r>
          </w:p>
        </w:tc>
        <w:tc>
          <w:tcPr>
            <w:tcW w:w="1701" w:type="dxa"/>
            <w:tcBorders>
              <w:top w:val="single" w:sz="4" w:space="0" w:color="auto"/>
              <w:left w:val="single" w:sz="4" w:space="0" w:color="auto"/>
              <w:bottom w:val="single" w:sz="4" w:space="0" w:color="auto"/>
              <w:right w:val="single" w:sz="4" w:space="0" w:color="auto"/>
            </w:tcBorders>
          </w:tcPr>
          <w:p w14:paraId="75F13E91" w14:textId="77777777" w:rsidR="00815334" w:rsidRPr="00A7039A" w:rsidRDefault="00815334" w:rsidP="00EE7AA9">
            <w:pPr>
              <w:widowControl w:val="0"/>
              <w:suppressAutoHyphens/>
              <w:autoSpaceDE w:val="0"/>
              <w:jc w:val="center"/>
              <w:rPr>
                <w:sz w:val="22"/>
                <w:szCs w:val="22"/>
              </w:rPr>
            </w:pPr>
          </w:p>
          <w:p w14:paraId="42FA356A" w14:textId="77777777" w:rsidR="00815334" w:rsidRPr="00A7039A" w:rsidRDefault="00815334" w:rsidP="00EE7AA9">
            <w:pPr>
              <w:widowControl w:val="0"/>
              <w:suppressAutoHyphens/>
              <w:autoSpaceDE w:val="0"/>
              <w:jc w:val="center"/>
              <w:rPr>
                <w:sz w:val="22"/>
                <w:szCs w:val="22"/>
              </w:rPr>
            </w:pPr>
          </w:p>
          <w:p w14:paraId="13DFFD33" w14:textId="77777777" w:rsidR="00815334" w:rsidRPr="00A7039A" w:rsidRDefault="00815334" w:rsidP="00EE7AA9">
            <w:pPr>
              <w:widowControl w:val="0"/>
              <w:suppressAutoHyphens/>
              <w:autoSpaceDE w:val="0"/>
              <w:jc w:val="center"/>
              <w:rPr>
                <w:sz w:val="22"/>
                <w:szCs w:val="22"/>
              </w:rPr>
            </w:pPr>
          </w:p>
          <w:p w14:paraId="13015144" w14:textId="77777777" w:rsidR="00815334" w:rsidRPr="00A7039A" w:rsidRDefault="00815334" w:rsidP="00EE7AA9">
            <w:pPr>
              <w:widowControl w:val="0"/>
              <w:suppressAutoHyphens/>
              <w:autoSpaceDE w:val="0"/>
              <w:jc w:val="center"/>
              <w:rPr>
                <w:rFonts w:eastAsia="Times New Roman"/>
                <w:sz w:val="22"/>
                <w:szCs w:val="22"/>
              </w:rPr>
            </w:pPr>
            <w:r w:rsidRPr="00A7039A">
              <w:rPr>
                <w:sz w:val="22"/>
                <w:szCs w:val="22"/>
              </w:rPr>
              <w:t xml:space="preserve">Капуста </w:t>
            </w:r>
            <w:proofErr w:type="spellStart"/>
            <w:r w:rsidRPr="00A7039A">
              <w:rPr>
                <w:sz w:val="22"/>
                <w:szCs w:val="22"/>
              </w:rPr>
              <w:t>білокачанна</w:t>
            </w:r>
            <w:proofErr w:type="spellEnd"/>
            <w:r w:rsidRPr="00A7039A">
              <w:rPr>
                <w:sz w:val="22"/>
                <w:szCs w:val="22"/>
              </w:rPr>
              <w:t xml:space="preserve"> </w:t>
            </w:r>
          </w:p>
        </w:tc>
        <w:tc>
          <w:tcPr>
            <w:tcW w:w="3840" w:type="dxa"/>
            <w:tcBorders>
              <w:left w:val="single" w:sz="4" w:space="0" w:color="auto"/>
              <w:right w:val="single" w:sz="4" w:space="0" w:color="auto"/>
            </w:tcBorders>
            <w:vAlign w:val="center"/>
          </w:tcPr>
          <w:p w14:paraId="349758F9" w14:textId="77777777" w:rsidR="00815334" w:rsidRPr="00A7039A" w:rsidRDefault="00815334" w:rsidP="00EE7AA9">
            <w:pPr>
              <w:widowControl w:val="0"/>
              <w:suppressAutoHyphens/>
              <w:autoSpaceDE w:val="0"/>
              <w:rPr>
                <w:bCs/>
                <w:sz w:val="22"/>
                <w:szCs w:val="22"/>
                <w:lang w:eastAsia="zh-CN"/>
              </w:rPr>
            </w:pPr>
            <w:r w:rsidRPr="00A7039A">
              <w:rPr>
                <w:bCs/>
                <w:sz w:val="22"/>
                <w:szCs w:val="22"/>
                <w:lang w:eastAsia="zh-CN"/>
              </w:rPr>
              <w:t xml:space="preserve">Капуста </w:t>
            </w:r>
            <w:proofErr w:type="spellStart"/>
            <w:r w:rsidRPr="00A7039A">
              <w:rPr>
                <w:bCs/>
                <w:sz w:val="22"/>
                <w:szCs w:val="22"/>
                <w:lang w:eastAsia="zh-CN"/>
              </w:rPr>
              <w:t>білокачанна</w:t>
            </w:r>
            <w:proofErr w:type="spellEnd"/>
            <w:r w:rsidRPr="00A7039A">
              <w:rPr>
                <w:bCs/>
                <w:sz w:val="22"/>
                <w:szCs w:val="22"/>
                <w:lang w:eastAsia="zh-CN"/>
              </w:rPr>
              <w:t xml:space="preserve"> </w:t>
            </w:r>
            <w:proofErr w:type="spellStart"/>
            <w:r w:rsidRPr="00A7039A">
              <w:rPr>
                <w:bCs/>
                <w:sz w:val="22"/>
                <w:szCs w:val="22"/>
                <w:lang w:eastAsia="zh-CN"/>
              </w:rPr>
              <w:t>свіжа</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ящики.</w:t>
            </w:r>
          </w:p>
        </w:tc>
        <w:tc>
          <w:tcPr>
            <w:tcW w:w="1086" w:type="dxa"/>
            <w:tcBorders>
              <w:top w:val="single" w:sz="4" w:space="0" w:color="auto"/>
              <w:left w:val="single" w:sz="4" w:space="0" w:color="auto"/>
              <w:bottom w:val="single" w:sz="4" w:space="0" w:color="auto"/>
              <w:right w:val="single" w:sz="4" w:space="0" w:color="auto"/>
            </w:tcBorders>
          </w:tcPr>
          <w:p w14:paraId="2D3D15EF" w14:textId="2EB62D0A" w:rsidR="00815334" w:rsidRPr="00A7039A" w:rsidRDefault="00815334" w:rsidP="00EE7AA9">
            <w:pPr>
              <w:widowControl w:val="0"/>
              <w:suppressAutoHyphens/>
              <w:autoSpaceDE w:val="0"/>
              <w:jc w:val="center"/>
              <w:rPr>
                <w:color w:val="000000"/>
                <w:sz w:val="22"/>
                <w:szCs w:val="22"/>
              </w:rPr>
            </w:pPr>
            <w:r>
              <w:rPr>
                <w:color w:val="000000"/>
                <w:sz w:val="22"/>
                <w:szCs w:val="22"/>
                <w:lang w:val="uk-UA"/>
              </w:rPr>
              <w:t>3 0</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1B7F449F"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7C785695" w14:textId="4528CC13"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2F9E95A1"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4DF94AE5" w14:textId="77777777" w:rsidTr="00EE7AA9">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15E645AD"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5.</w:t>
            </w:r>
          </w:p>
        </w:tc>
        <w:tc>
          <w:tcPr>
            <w:tcW w:w="1701" w:type="dxa"/>
            <w:tcBorders>
              <w:top w:val="single" w:sz="4" w:space="0" w:color="auto"/>
              <w:left w:val="single" w:sz="4" w:space="0" w:color="auto"/>
              <w:bottom w:val="single" w:sz="4" w:space="0" w:color="auto"/>
              <w:right w:val="single" w:sz="4" w:space="0" w:color="auto"/>
            </w:tcBorders>
            <w:vAlign w:val="bottom"/>
          </w:tcPr>
          <w:p w14:paraId="3E0BB213" w14:textId="77777777" w:rsidR="00815334" w:rsidRPr="00A7039A" w:rsidRDefault="00815334" w:rsidP="00EE7AA9">
            <w:pPr>
              <w:widowControl w:val="0"/>
              <w:suppressAutoHyphens/>
              <w:autoSpaceDE w:val="0"/>
              <w:jc w:val="center"/>
              <w:rPr>
                <w:sz w:val="22"/>
                <w:szCs w:val="22"/>
              </w:rPr>
            </w:pPr>
            <w:r w:rsidRPr="00A7039A">
              <w:rPr>
                <w:rFonts w:eastAsia="Times New Roman"/>
                <w:sz w:val="22"/>
                <w:szCs w:val="22"/>
              </w:rPr>
              <w:t>Зелень петрушки</w:t>
            </w:r>
          </w:p>
        </w:tc>
        <w:tc>
          <w:tcPr>
            <w:tcW w:w="3840" w:type="dxa"/>
            <w:tcBorders>
              <w:left w:val="single" w:sz="4" w:space="0" w:color="auto"/>
              <w:right w:val="single" w:sz="4" w:space="0" w:color="auto"/>
            </w:tcBorders>
          </w:tcPr>
          <w:p w14:paraId="61BB4D87" w14:textId="77777777" w:rsidR="00815334" w:rsidRPr="00A7039A" w:rsidRDefault="00815334" w:rsidP="00EE7AA9">
            <w:pPr>
              <w:widowControl w:val="0"/>
              <w:suppressAutoHyphens/>
              <w:autoSpaceDE w:val="0"/>
              <w:rPr>
                <w:bCs/>
                <w:sz w:val="22"/>
                <w:szCs w:val="22"/>
                <w:lang w:eastAsia="zh-CN"/>
              </w:rPr>
            </w:pPr>
            <w:r w:rsidRPr="00A7039A">
              <w:rPr>
                <w:sz w:val="22"/>
                <w:szCs w:val="22"/>
              </w:rPr>
              <w:t xml:space="preserve">Петрушка </w:t>
            </w:r>
            <w:proofErr w:type="spellStart"/>
            <w:r w:rsidRPr="00A7039A">
              <w:rPr>
                <w:sz w:val="22"/>
                <w:szCs w:val="22"/>
              </w:rPr>
              <w:t>листкова</w:t>
            </w:r>
            <w:proofErr w:type="spellEnd"/>
            <w:r w:rsidRPr="00A7039A">
              <w:rPr>
                <w:sz w:val="22"/>
                <w:szCs w:val="22"/>
              </w:rPr>
              <w:t xml:space="preserve"> </w:t>
            </w:r>
            <w:proofErr w:type="spellStart"/>
            <w:r w:rsidRPr="00A7039A">
              <w:rPr>
                <w:sz w:val="22"/>
                <w:szCs w:val="22"/>
              </w:rPr>
              <w:t>свіжа</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699A30F2" w14:textId="633DC895" w:rsidR="00815334" w:rsidRPr="00A7039A" w:rsidRDefault="00815334" w:rsidP="00EE7AA9">
            <w:pPr>
              <w:widowControl w:val="0"/>
              <w:suppressAutoHyphens/>
              <w:autoSpaceDE w:val="0"/>
              <w:jc w:val="center"/>
              <w:rPr>
                <w:color w:val="000000"/>
                <w:sz w:val="22"/>
                <w:szCs w:val="22"/>
              </w:rPr>
            </w:pPr>
            <w:r>
              <w:rPr>
                <w:rFonts w:eastAsia="Times New Roman"/>
                <w:sz w:val="22"/>
                <w:szCs w:val="22"/>
                <w:lang w:val="uk-UA"/>
              </w:rPr>
              <w:t>3</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5B54AC3F"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5A60E226" w14:textId="4FA9F19C"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51D0AFE8"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19D7B5A7" w14:textId="77777777" w:rsidTr="00EE7AA9">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6FBB1771"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t>6.</w:t>
            </w:r>
          </w:p>
        </w:tc>
        <w:tc>
          <w:tcPr>
            <w:tcW w:w="1701" w:type="dxa"/>
            <w:tcBorders>
              <w:top w:val="single" w:sz="4" w:space="0" w:color="auto"/>
              <w:left w:val="single" w:sz="4" w:space="0" w:color="auto"/>
              <w:bottom w:val="single" w:sz="4" w:space="0" w:color="auto"/>
              <w:right w:val="single" w:sz="4" w:space="0" w:color="auto"/>
            </w:tcBorders>
            <w:vAlign w:val="bottom"/>
          </w:tcPr>
          <w:p w14:paraId="777F4B99" w14:textId="77777777" w:rsidR="00815334" w:rsidRPr="00A7039A" w:rsidRDefault="00815334" w:rsidP="00EE7AA9">
            <w:pPr>
              <w:widowControl w:val="0"/>
              <w:suppressAutoHyphens/>
              <w:autoSpaceDE w:val="0"/>
              <w:jc w:val="center"/>
              <w:rPr>
                <w:sz w:val="22"/>
                <w:szCs w:val="22"/>
              </w:rPr>
            </w:pPr>
            <w:proofErr w:type="spellStart"/>
            <w:r w:rsidRPr="00A7039A">
              <w:rPr>
                <w:rFonts w:eastAsia="Times New Roman"/>
                <w:sz w:val="22"/>
                <w:szCs w:val="22"/>
              </w:rPr>
              <w:t>Кріп</w:t>
            </w:r>
            <w:proofErr w:type="spellEnd"/>
            <w:r w:rsidRPr="00A7039A">
              <w:rPr>
                <w:rFonts w:eastAsia="Times New Roman"/>
                <w:sz w:val="22"/>
                <w:szCs w:val="22"/>
              </w:rPr>
              <w:t xml:space="preserve"> </w:t>
            </w:r>
            <w:proofErr w:type="spellStart"/>
            <w:r w:rsidRPr="00A7039A">
              <w:rPr>
                <w:rFonts w:eastAsia="Times New Roman"/>
                <w:sz w:val="22"/>
                <w:szCs w:val="22"/>
              </w:rPr>
              <w:t>свіжий</w:t>
            </w:r>
            <w:proofErr w:type="spellEnd"/>
          </w:p>
        </w:tc>
        <w:tc>
          <w:tcPr>
            <w:tcW w:w="3840" w:type="dxa"/>
            <w:tcBorders>
              <w:left w:val="single" w:sz="4" w:space="0" w:color="auto"/>
              <w:right w:val="single" w:sz="4" w:space="0" w:color="auto"/>
            </w:tcBorders>
          </w:tcPr>
          <w:p w14:paraId="69842F08" w14:textId="77777777" w:rsidR="00815334" w:rsidRPr="00A7039A" w:rsidRDefault="00815334" w:rsidP="00EE7AA9">
            <w:pPr>
              <w:widowControl w:val="0"/>
              <w:suppressAutoHyphens/>
              <w:autoSpaceDE w:val="0"/>
              <w:rPr>
                <w:bCs/>
                <w:sz w:val="22"/>
                <w:szCs w:val="22"/>
                <w:lang w:eastAsia="zh-CN"/>
              </w:rPr>
            </w:pPr>
            <w:proofErr w:type="spellStart"/>
            <w:r w:rsidRPr="00A7039A">
              <w:rPr>
                <w:bCs/>
                <w:sz w:val="22"/>
                <w:szCs w:val="22"/>
              </w:rPr>
              <w:t>Кріп</w:t>
            </w:r>
            <w:proofErr w:type="spellEnd"/>
            <w:r w:rsidRPr="00A7039A">
              <w:rPr>
                <w:b/>
                <w:sz w:val="22"/>
                <w:szCs w:val="22"/>
              </w:rPr>
              <w:t xml:space="preserve"> </w:t>
            </w:r>
            <w:proofErr w:type="spellStart"/>
            <w:r w:rsidRPr="00A7039A">
              <w:rPr>
                <w:sz w:val="22"/>
                <w:szCs w:val="22"/>
              </w:rPr>
              <w:t>свіжий</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0F0D28E4" w14:textId="72ED98F1" w:rsidR="00815334" w:rsidRPr="00A7039A" w:rsidRDefault="00815334" w:rsidP="00EE7AA9">
            <w:pPr>
              <w:widowControl w:val="0"/>
              <w:suppressAutoHyphens/>
              <w:autoSpaceDE w:val="0"/>
              <w:jc w:val="center"/>
              <w:rPr>
                <w:color w:val="000000"/>
                <w:sz w:val="22"/>
                <w:szCs w:val="22"/>
              </w:rPr>
            </w:pPr>
            <w:r>
              <w:rPr>
                <w:rFonts w:eastAsia="Times New Roman"/>
                <w:sz w:val="22"/>
                <w:szCs w:val="22"/>
                <w:lang w:val="uk-UA"/>
              </w:rPr>
              <w:t>3</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06E66449"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4FA1F380" w14:textId="2B6E90AF"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13074B12"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815334" w:rsidRPr="00A7039A" w14:paraId="1F80BD5D" w14:textId="77777777" w:rsidTr="00EE7AA9">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03607F6B" w14:textId="77777777" w:rsidR="00815334" w:rsidRPr="00A7039A" w:rsidRDefault="00815334" w:rsidP="00EE7AA9">
            <w:pPr>
              <w:widowControl w:val="0"/>
              <w:suppressAutoHyphens/>
              <w:autoSpaceDE w:val="0"/>
              <w:jc w:val="both"/>
              <w:rPr>
                <w:bCs/>
                <w:sz w:val="22"/>
                <w:szCs w:val="22"/>
                <w:lang w:eastAsia="zh-CN"/>
              </w:rPr>
            </w:pPr>
            <w:r w:rsidRPr="00A7039A">
              <w:rPr>
                <w:bCs/>
                <w:sz w:val="22"/>
                <w:szCs w:val="22"/>
                <w:lang w:eastAsia="zh-CN"/>
              </w:rPr>
              <w:lastRenderedPageBreak/>
              <w:t>7.</w:t>
            </w:r>
          </w:p>
        </w:tc>
        <w:tc>
          <w:tcPr>
            <w:tcW w:w="1701" w:type="dxa"/>
            <w:tcBorders>
              <w:top w:val="single" w:sz="4" w:space="0" w:color="auto"/>
              <w:left w:val="single" w:sz="4" w:space="0" w:color="auto"/>
              <w:bottom w:val="single" w:sz="4" w:space="0" w:color="auto"/>
              <w:right w:val="single" w:sz="4" w:space="0" w:color="auto"/>
            </w:tcBorders>
            <w:vAlign w:val="bottom"/>
          </w:tcPr>
          <w:p w14:paraId="2804E4BE" w14:textId="77777777" w:rsidR="00815334" w:rsidRPr="00A7039A" w:rsidRDefault="00815334" w:rsidP="00EE7AA9">
            <w:pPr>
              <w:widowControl w:val="0"/>
              <w:suppressAutoHyphens/>
              <w:autoSpaceDE w:val="0"/>
              <w:jc w:val="center"/>
              <w:rPr>
                <w:sz w:val="22"/>
                <w:szCs w:val="22"/>
              </w:rPr>
            </w:pPr>
            <w:proofErr w:type="spellStart"/>
            <w:r w:rsidRPr="00A7039A">
              <w:rPr>
                <w:rFonts w:eastAsia="Times New Roman"/>
                <w:sz w:val="22"/>
                <w:szCs w:val="22"/>
                <w:lang w:val="en-US"/>
              </w:rPr>
              <w:t>Морква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столова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5EC821B1" w14:textId="77777777" w:rsidR="00815334" w:rsidRPr="00A7039A" w:rsidRDefault="00815334" w:rsidP="00EE7AA9">
            <w:pPr>
              <w:widowControl w:val="0"/>
              <w:suppressAutoHyphens/>
              <w:autoSpaceDE w:val="0"/>
              <w:jc w:val="both"/>
              <w:rPr>
                <w:bCs/>
                <w:sz w:val="22"/>
                <w:szCs w:val="22"/>
              </w:rPr>
            </w:pPr>
            <w:proofErr w:type="spellStart"/>
            <w:r w:rsidRPr="00A7039A">
              <w:rPr>
                <w:bCs/>
                <w:sz w:val="22"/>
                <w:szCs w:val="22"/>
              </w:rPr>
              <w:t>Морква</w:t>
            </w:r>
            <w:proofErr w:type="spellEnd"/>
            <w:r w:rsidRPr="00A7039A">
              <w:rPr>
                <w:bCs/>
                <w:sz w:val="22"/>
                <w:szCs w:val="22"/>
              </w:rPr>
              <w:t xml:space="preserve"> </w:t>
            </w:r>
            <w:proofErr w:type="spellStart"/>
            <w:r w:rsidRPr="00A7039A">
              <w:rPr>
                <w:bCs/>
                <w:sz w:val="22"/>
                <w:szCs w:val="22"/>
              </w:rPr>
              <w:t>столова</w:t>
            </w:r>
            <w:proofErr w:type="spellEnd"/>
            <w:r w:rsidRPr="00A7039A">
              <w:rPr>
                <w:bCs/>
                <w:sz w:val="22"/>
                <w:szCs w:val="22"/>
              </w:rPr>
              <w:t xml:space="preserve"> </w:t>
            </w:r>
            <w:proofErr w:type="spellStart"/>
            <w:r w:rsidRPr="00A7039A">
              <w:rPr>
                <w:bCs/>
                <w:sz w:val="22"/>
                <w:szCs w:val="22"/>
              </w:rPr>
              <w:t>свіжа</w:t>
            </w:r>
            <w:proofErr w:type="spellEnd"/>
            <w:r w:rsidRPr="00A7039A">
              <w:rPr>
                <w:bCs/>
                <w:sz w:val="22"/>
                <w:szCs w:val="22"/>
              </w:rPr>
              <w:t xml:space="preserve"> повинна бути </w:t>
            </w:r>
            <w:proofErr w:type="spellStart"/>
            <w:r w:rsidRPr="00A7039A">
              <w:rPr>
                <w:bCs/>
                <w:sz w:val="22"/>
                <w:szCs w:val="22"/>
              </w:rPr>
              <w:t>першого</w:t>
            </w:r>
            <w:proofErr w:type="spellEnd"/>
            <w:r w:rsidRPr="00A7039A">
              <w:rPr>
                <w:bCs/>
                <w:sz w:val="22"/>
                <w:szCs w:val="22"/>
              </w:rPr>
              <w:t xml:space="preserve"> товарного </w:t>
            </w:r>
            <w:proofErr w:type="spellStart"/>
            <w:r w:rsidRPr="00A7039A">
              <w:rPr>
                <w:bCs/>
                <w:sz w:val="22"/>
                <w:szCs w:val="22"/>
              </w:rPr>
              <w:t>ґатунку</w:t>
            </w:r>
            <w:proofErr w:type="spellEnd"/>
            <w:r w:rsidRPr="00A7039A">
              <w:rPr>
                <w:bCs/>
                <w:sz w:val="22"/>
                <w:szCs w:val="22"/>
              </w:rPr>
              <w:t xml:space="preserve">, </w:t>
            </w:r>
            <w:proofErr w:type="spellStart"/>
            <w:r w:rsidRPr="00A7039A">
              <w:rPr>
                <w:bCs/>
                <w:sz w:val="22"/>
                <w:szCs w:val="22"/>
              </w:rPr>
              <w:t>діаметр</w:t>
            </w:r>
            <w:proofErr w:type="spellEnd"/>
            <w:r w:rsidRPr="00A7039A">
              <w:rPr>
                <w:bCs/>
                <w:sz w:val="22"/>
                <w:szCs w:val="22"/>
              </w:rPr>
              <w:t xml:space="preserve"> 20-50 мм., очищена </w:t>
            </w:r>
            <w:proofErr w:type="spellStart"/>
            <w:r w:rsidRPr="00A7039A">
              <w:rPr>
                <w:bCs/>
                <w:sz w:val="22"/>
                <w:szCs w:val="22"/>
              </w:rPr>
              <w:t>від</w:t>
            </w:r>
            <w:proofErr w:type="spellEnd"/>
            <w:r w:rsidRPr="00A7039A">
              <w:rPr>
                <w:bCs/>
                <w:sz w:val="22"/>
                <w:szCs w:val="22"/>
              </w:rPr>
              <w:t xml:space="preserve"> </w:t>
            </w:r>
            <w:proofErr w:type="spellStart"/>
            <w:r w:rsidRPr="00A7039A">
              <w:rPr>
                <w:bCs/>
                <w:sz w:val="22"/>
                <w:szCs w:val="22"/>
              </w:rPr>
              <w:t>землі</w:t>
            </w:r>
            <w:proofErr w:type="spellEnd"/>
            <w:r w:rsidRPr="00A7039A">
              <w:rPr>
                <w:bCs/>
                <w:sz w:val="22"/>
                <w:szCs w:val="22"/>
              </w:rPr>
              <w:t xml:space="preserve"> сухим способом, </w:t>
            </w:r>
            <w:proofErr w:type="spellStart"/>
            <w:r w:rsidRPr="00A7039A">
              <w:rPr>
                <w:bCs/>
                <w:sz w:val="22"/>
                <w:szCs w:val="22"/>
              </w:rPr>
              <w:t>однорідна</w:t>
            </w:r>
            <w:proofErr w:type="spellEnd"/>
            <w:r w:rsidRPr="00A7039A">
              <w:rPr>
                <w:bCs/>
                <w:sz w:val="22"/>
                <w:szCs w:val="22"/>
              </w:rPr>
              <w:t xml:space="preserve"> за формою та </w:t>
            </w:r>
            <w:proofErr w:type="spellStart"/>
            <w:r w:rsidRPr="00A7039A">
              <w:rPr>
                <w:bCs/>
                <w:sz w:val="22"/>
                <w:szCs w:val="22"/>
              </w:rPr>
              <w:t>забарвленням</w:t>
            </w:r>
            <w:proofErr w:type="spellEnd"/>
            <w:r w:rsidRPr="00A7039A">
              <w:rPr>
                <w:bCs/>
                <w:sz w:val="22"/>
                <w:szCs w:val="22"/>
              </w:rPr>
              <w:t xml:space="preserve">, </w:t>
            </w:r>
            <w:proofErr w:type="spellStart"/>
            <w:r w:rsidRPr="00A7039A">
              <w:rPr>
                <w:bCs/>
                <w:sz w:val="22"/>
                <w:szCs w:val="22"/>
              </w:rPr>
              <w:t>калібрована</w:t>
            </w:r>
            <w:proofErr w:type="spellEnd"/>
            <w:r w:rsidRPr="00A7039A">
              <w:rPr>
                <w:bCs/>
                <w:sz w:val="22"/>
                <w:szCs w:val="22"/>
              </w:rPr>
              <w:t xml:space="preserve">. </w:t>
            </w:r>
            <w:proofErr w:type="spellStart"/>
            <w:r w:rsidRPr="00A7039A">
              <w:rPr>
                <w:bCs/>
                <w:sz w:val="22"/>
                <w:szCs w:val="22"/>
              </w:rPr>
              <w:t>Пакування</w:t>
            </w:r>
            <w:proofErr w:type="spellEnd"/>
            <w:r w:rsidRPr="00A7039A">
              <w:rPr>
                <w:bCs/>
                <w:sz w:val="22"/>
                <w:szCs w:val="22"/>
              </w:rPr>
              <w:t xml:space="preserve"> в </w:t>
            </w:r>
            <w:proofErr w:type="spellStart"/>
            <w:r w:rsidRPr="00A7039A">
              <w:rPr>
                <w:bCs/>
                <w:sz w:val="22"/>
                <w:szCs w:val="22"/>
              </w:rPr>
              <w:t>сітчасті</w:t>
            </w:r>
            <w:proofErr w:type="spellEnd"/>
            <w:r w:rsidRPr="00A7039A">
              <w:rPr>
                <w:bCs/>
                <w:sz w:val="22"/>
                <w:szCs w:val="22"/>
              </w:rPr>
              <w:t xml:space="preserve"> </w:t>
            </w:r>
            <w:proofErr w:type="spellStart"/>
            <w:r w:rsidRPr="00A7039A">
              <w:rPr>
                <w:bCs/>
                <w:sz w:val="22"/>
                <w:szCs w:val="22"/>
              </w:rPr>
              <w:t>чи</w:t>
            </w:r>
            <w:proofErr w:type="spellEnd"/>
            <w:r w:rsidRPr="00A7039A">
              <w:rPr>
                <w:bCs/>
                <w:sz w:val="22"/>
                <w:szCs w:val="22"/>
              </w:rPr>
              <w:t xml:space="preserve"> </w:t>
            </w:r>
            <w:proofErr w:type="spellStart"/>
            <w:r w:rsidRPr="00A7039A">
              <w:rPr>
                <w:bCs/>
                <w:sz w:val="22"/>
                <w:szCs w:val="22"/>
              </w:rPr>
              <w:t>полімерні</w:t>
            </w:r>
            <w:proofErr w:type="spellEnd"/>
            <w:r w:rsidRPr="00A7039A">
              <w:rPr>
                <w:bCs/>
                <w:sz w:val="22"/>
                <w:szCs w:val="22"/>
              </w:rPr>
              <w:t xml:space="preserve"> </w:t>
            </w:r>
            <w:proofErr w:type="spellStart"/>
            <w:r w:rsidRPr="00A7039A">
              <w:rPr>
                <w:bCs/>
                <w:sz w:val="22"/>
                <w:szCs w:val="22"/>
              </w:rPr>
              <w:t>мішки</w:t>
            </w:r>
            <w:proofErr w:type="spellEnd"/>
            <w:r w:rsidRPr="00A7039A">
              <w:rPr>
                <w:bCs/>
                <w:sz w:val="22"/>
                <w:szCs w:val="22"/>
              </w:rPr>
              <w:t xml:space="preserve"> до 10 кг.</w:t>
            </w:r>
          </w:p>
          <w:p w14:paraId="3EC166E2" w14:textId="77777777" w:rsidR="00815334" w:rsidRPr="00A7039A" w:rsidRDefault="00815334" w:rsidP="00EE7AA9">
            <w:pPr>
              <w:widowControl w:val="0"/>
              <w:suppressAutoHyphens/>
              <w:autoSpaceDE w:val="0"/>
              <w:rPr>
                <w:bCs/>
                <w:sz w:val="22"/>
                <w:szCs w:val="22"/>
                <w:lang w:eastAsia="zh-CN"/>
              </w:rPr>
            </w:pPr>
          </w:p>
        </w:tc>
        <w:tc>
          <w:tcPr>
            <w:tcW w:w="1086" w:type="dxa"/>
            <w:tcBorders>
              <w:top w:val="single" w:sz="4" w:space="0" w:color="auto"/>
              <w:left w:val="single" w:sz="4" w:space="0" w:color="auto"/>
              <w:bottom w:val="single" w:sz="4" w:space="0" w:color="auto"/>
              <w:right w:val="single" w:sz="4" w:space="0" w:color="auto"/>
            </w:tcBorders>
            <w:vAlign w:val="center"/>
          </w:tcPr>
          <w:p w14:paraId="1C94AEF1" w14:textId="6D935E72" w:rsidR="00815334" w:rsidRPr="00A7039A" w:rsidRDefault="00815334" w:rsidP="00EE7AA9">
            <w:pPr>
              <w:widowControl w:val="0"/>
              <w:suppressAutoHyphens/>
              <w:autoSpaceDE w:val="0"/>
              <w:jc w:val="center"/>
              <w:rPr>
                <w:color w:val="000000"/>
                <w:sz w:val="22"/>
                <w:szCs w:val="22"/>
              </w:rPr>
            </w:pPr>
            <w:r w:rsidRPr="00A7039A">
              <w:rPr>
                <w:rFonts w:eastAsia="Times New Roman"/>
                <w:sz w:val="22"/>
                <w:szCs w:val="22"/>
              </w:rPr>
              <w:t>2 </w:t>
            </w:r>
            <w:r>
              <w:rPr>
                <w:rFonts w:eastAsia="Times New Roman"/>
                <w:sz w:val="22"/>
                <w:szCs w:val="22"/>
                <w:lang w:val="uk-UA"/>
              </w:rPr>
              <w:t>5</w:t>
            </w:r>
            <w:r w:rsidRPr="00A7039A">
              <w:rPr>
                <w:rFonts w:eastAsia="Times New Roman"/>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0F0807EE"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4224E7AA" w14:textId="0E1DE515"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1CD8330F"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p w14:paraId="2D2B992C" w14:textId="77777777" w:rsidR="00815334" w:rsidRPr="00A7039A" w:rsidRDefault="00815334" w:rsidP="00EE7AA9">
            <w:pPr>
              <w:widowControl w:val="0"/>
              <w:suppressAutoHyphens/>
              <w:autoSpaceDE w:val="0"/>
              <w:jc w:val="center"/>
              <w:rPr>
                <w:bCs/>
                <w:sz w:val="22"/>
                <w:szCs w:val="22"/>
                <w:lang w:eastAsia="zh-CN"/>
              </w:rPr>
            </w:pPr>
          </w:p>
          <w:p w14:paraId="7C9FF4D6" w14:textId="77777777" w:rsidR="00815334" w:rsidRPr="00A7039A" w:rsidRDefault="00815334" w:rsidP="00EE7AA9">
            <w:pPr>
              <w:widowControl w:val="0"/>
              <w:suppressAutoHyphens/>
              <w:autoSpaceDE w:val="0"/>
              <w:jc w:val="center"/>
              <w:rPr>
                <w:bCs/>
                <w:sz w:val="22"/>
                <w:szCs w:val="22"/>
                <w:lang w:eastAsia="zh-CN"/>
              </w:rPr>
            </w:pPr>
          </w:p>
        </w:tc>
      </w:tr>
      <w:tr w:rsidR="00815334" w:rsidRPr="00A7039A" w14:paraId="4C78EC08" w14:textId="77777777" w:rsidTr="00EE7AA9">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7C3130E7" w14:textId="3A540FA6" w:rsidR="00815334" w:rsidRPr="00A7039A" w:rsidRDefault="00815334" w:rsidP="00EE7AA9">
            <w:pPr>
              <w:widowControl w:val="0"/>
              <w:suppressAutoHyphens/>
              <w:autoSpaceDE w:val="0"/>
              <w:jc w:val="both"/>
              <w:rPr>
                <w:bCs/>
                <w:sz w:val="22"/>
                <w:szCs w:val="22"/>
                <w:lang w:eastAsia="zh-CN"/>
              </w:rPr>
            </w:pPr>
            <w:r>
              <w:rPr>
                <w:bCs/>
                <w:sz w:val="22"/>
                <w:szCs w:val="22"/>
                <w:lang w:val="uk-UA" w:eastAsia="zh-CN"/>
              </w:rPr>
              <w:t>8</w:t>
            </w:r>
            <w:r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062E18EA" w14:textId="77777777" w:rsidR="00815334" w:rsidRPr="00A7039A" w:rsidRDefault="00815334" w:rsidP="00EE7AA9">
            <w:pPr>
              <w:widowControl w:val="0"/>
              <w:suppressAutoHyphens/>
              <w:autoSpaceDE w:val="0"/>
              <w:jc w:val="center"/>
              <w:rPr>
                <w:sz w:val="22"/>
                <w:szCs w:val="22"/>
              </w:rPr>
            </w:pPr>
            <w:proofErr w:type="spellStart"/>
            <w:r w:rsidRPr="00A7039A">
              <w:rPr>
                <w:rFonts w:eastAsia="Times New Roman"/>
                <w:sz w:val="22"/>
                <w:szCs w:val="22"/>
                <w:lang w:val="en-US"/>
              </w:rPr>
              <w:t>Цибуля</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ріпчаста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317E7A63" w14:textId="77777777" w:rsidR="00815334" w:rsidRPr="00A7039A" w:rsidRDefault="00815334" w:rsidP="00EE7AA9">
            <w:pPr>
              <w:widowControl w:val="0"/>
              <w:suppressAutoHyphens/>
              <w:autoSpaceDE w:val="0"/>
              <w:rPr>
                <w:bCs/>
                <w:sz w:val="22"/>
                <w:szCs w:val="22"/>
                <w:lang w:eastAsia="zh-CN"/>
              </w:rPr>
            </w:pPr>
            <w:r w:rsidRPr="00A7039A">
              <w:rPr>
                <w:bCs/>
              </w:rPr>
              <w:t xml:space="preserve">Цибуля </w:t>
            </w:r>
            <w:proofErr w:type="spellStart"/>
            <w:r w:rsidRPr="00A7039A">
              <w:rPr>
                <w:bCs/>
              </w:rPr>
              <w:t>ріпчаста</w:t>
            </w:r>
            <w:proofErr w:type="spellEnd"/>
            <w:r w:rsidRPr="00A7039A">
              <w:rPr>
                <w:b/>
              </w:rPr>
              <w:t xml:space="preserve"> </w:t>
            </w:r>
            <w:proofErr w:type="spellStart"/>
            <w:r w:rsidRPr="00A7039A">
              <w:t>свіжа</w:t>
            </w:r>
            <w:proofErr w:type="spellEnd"/>
            <w:r w:rsidRPr="00A7039A">
              <w:t xml:space="preserve"> </w:t>
            </w:r>
            <w:r w:rsidRPr="00A7039A">
              <w:rPr>
                <w:bCs/>
              </w:rPr>
              <w:t xml:space="preserve">повинна бути </w:t>
            </w:r>
            <w:proofErr w:type="spellStart"/>
            <w:r w:rsidRPr="00A7039A">
              <w:rPr>
                <w:bCs/>
              </w:rPr>
              <w:t>першого</w:t>
            </w:r>
            <w:proofErr w:type="spellEnd"/>
            <w:r w:rsidRPr="00A7039A">
              <w:rPr>
                <w:bCs/>
              </w:rPr>
              <w:t xml:space="preserve"> товарного </w:t>
            </w:r>
            <w:proofErr w:type="spellStart"/>
            <w:r w:rsidRPr="00A7039A">
              <w:rPr>
                <w:bCs/>
              </w:rPr>
              <w:t>ґатунку</w:t>
            </w:r>
            <w:proofErr w:type="spellEnd"/>
            <w:r w:rsidRPr="00A7039A">
              <w:rPr>
                <w:bCs/>
              </w:rPr>
              <w:t>,</w:t>
            </w:r>
            <w:r w:rsidRPr="00A7039A">
              <w:rPr>
                <w:color w:val="FF0000"/>
              </w:rPr>
              <w:t xml:space="preserve"> </w:t>
            </w:r>
            <w:proofErr w:type="spellStart"/>
            <w:r w:rsidRPr="00A7039A">
              <w:rPr>
                <w:bCs/>
              </w:rPr>
              <w:t>від</w:t>
            </w:r>
            <w:proofErr w:type="spellEnd"/>
            <w:r w:rsidRPr="00A7039A">
              <w:rPr>
                <w:bCs/>
              </w:rPr>
              <w:t xml:space="preserve"> 4см.,</w:t>
            </w:r>
            <w:r w:rsidRPr="00A7039A">
              <w:t xml:space="preserve"> </w:t>
            </w:r>
            <w:proofErr w:type="spellStart"/>
            <w:r w:rsidRPr="00A7039A">
              <w:rPr>
                <w:bCs/>
              </w:rPr>
              <w:t>калібрована</w:t>
            </w:r>
            <w:proofErr w:type="spellEnd"/>
            <w:r w:rsidRPr="00A7039A">
              <w:rPr>
                <w:bCs/>
              </w:rPr>
              <w:t xml:space="preserve"> та </w:t>
            </w:r>
            <w:proofErr w:type="spellStart"/>
            <w:r w:rsidRPr="00A7039A">
              <w:rPr>
                <w:bCs/>
              </w:rPr>
              <w:t>розфасована</w:t>
            </w:r>
            <w:proofErr w:type="spellEnd"/>
            <w:r w:rsidRPr="00A7039A">
              <w:rPr>
                <w:bCs/>
              </w:rPr>
              <w:t xml:space="preserve"> в </w:t>
            </w:r>
            <w:proofErr w:type="spellStart"/>
            <w:r w:rsidRPr="00A7039A">
              <w:rPr>
                <w:bCs/>
              </w:rPr>
              <w:t>сітчасті</w:t>
            </w:r>
            <w:proofErr w:type="spellEnd"/>
            <w:r w:rsidRPr="00A7039A">
              <w:rPr>
                <w:bCs/>
              </w:rPr>
              <w:t xml:space="preserve"> </w:t>
            </w:r>
            <w:proofErr w:type="spellStart"/>
            <w:r w:rsidRPr="00A7039A">
              <w:rPr>
                <w:bCs/>
              </w:rPr>
              <w:t>або</w:t>
            </w:r>
            <w:proofErr w:type="spellEnd"/>
            <w:r w:rsidRPr="00A7039A">
              <w:rPr>
                <w:bCs/>
              </w:rPr>
              <w:t xml:space="preserve"> </w:t>
            </w:r>
            <w:proofErr w:type="spellStart"/>
            <w:r w:rsidRPr="00A7039A">
              <w:rPr>
                <w:bCs/>
              </w:rPr>
              <w:t>полімерні</w:t>
            </w:r>
            <w:proofErr w:type="spellEnd"/>
            <w:r w:rsidRPr="00A7039A">
              <w:rPr>
                <w:bCs/>
              </w:rPr>
              <w:t xml:space="preserve"> </w:t>
            </w:r>
            <w:proofErr w:type="spellStart"/>
            <w:r w:rsidRPr="00A7039A">
              <w:rPr>
                <w:bCs/>
              </w:rPr>
              <w:t>мішки</w:t>
            </w:r>
            <w:proofErr w:type="spellEnd"/>
            <w:r w:rsidRPr="00A7039A">
              <w:rPr>
                <w:bCs/>
              </w:rPr>
              <w:t xml:space="preserve"> до 10 кг.</w:t>
            </w:r>
          </w:p>
        </w:tc>
        <w:tc>
          <w:tcPr>
            <w:tcW w:w="1086" w:type="dxa"/>
            <w:tcBorders>
              <w:top w:val="single" w:sz="4" w:space="0" w:color="auto"/>
              <w:left w:val="single" w:sz="4" w:space="0" w:color="auto"/>
              <w:bottom w:val="single" w:sz="4" w:space="0" w:color="auto"/>
              <w:right w:val="single" w:sz="4" w:space="0" w:color="auto"/>
            </w:tcBorders>
            <w:vAlign w:val="center"/>
          </w:tcPr>
          <w:p w14:paraId="5C29F657" w14:textId="00626A4F" w:rsidR="00815334" w:rsidRPr="00A7039A" w:rsidRDefault="00815334" w:rsidP="00EE7AA9">
            <w:pPr>
              <w:widowControl w:val="0"/>
              <w:suppressAutoHyphens/>
              <w:autoSpaceDE w:val="0"/>
              <w:jc w:val="center"/>
              <w:rPr>
                <w:rFonts w:eastAsia="Times New Roman"/>
                <w:sz w:val="22"/>
                <w:szCs w:val="22"/>
              </w:rPr>
            </w:pPr>
            <w:r>
              <w:rPr>
                <w:rFonts w:eastAsia="Times New Roman"/>
                <w:sz w:val="22"/>
                <w:szCs w:val="22"/>
                <w:lang w:val="en-US"/>
              </w:rPr>
              <w:t>20</w:t>
            </w:r>
            <w:r w:rsidRPr="00A7039A">
              <w:rPr>
                <w:rFonts w:eastAsia="Times New Roman"/>
                <w:sz w:val="22"/>
                <w:szCs w:val="22"/>
              </w:rPr>
              <w:t>00</w:t>
            </w:r>
          </w:p>
        </w:tc>
        <w:tc>
          <w:tcPr>
            <w:tcW w:w="1322" w:type="dxa"/>
            <w:tcBorders>
              <w:top w:val="single" w:sz="4" w:space="0" w:color="auto"/>
              <w:left w:val="single" w:sz="4" w:space="0" w:color="auto"/>
              <w:bottom w:val="single" w:sz="4" w:space="0" w:color="auto"/>
              <w:right w:val="single" w:sz="4" w:space="0" w:color="auto"/>
            </w:tcBorders>
          </w:tcPr>
          <w:p w14:paraId="50DC414B" w14:textId="77777777" w:rsidR="00815334" w:rsidRPr="00A7039A" w:rsidRDefault="00815334" w:rsidP="00EE7AA9">
            <w:pPr>
              <w:widowControl w:val="0"/>
              <w:suppressAutoHyphens/>
              <w:autoSpaceDE w:val="0"/>
              <w:ind w:right="-138"/>
              <w:jc w:val="center"/>
              <w:rPr>
                <w:bCs/>
                <w:sz w:val="22"/>
                <w:szCs w:val="22"/>
                <w:lang w:eastAsia="zh-CN"/>
              </w:rPr>
            </w:pPr>
          </w:p>
          <w:p w14:paraId="2CC1C459" w14:textId="77777777" w:rsidR="00815334" w:rsidRPr="00A7039A" w:rsidRDefault="00815334" w:rsidP="00EE7AA9">
            <w:pPr>
              <w:widowControl w:val="0"/>
              <w:suppressAutoHyphens/>
              <w:autoSpaceDE w:val="0"/>
              <w:ind w:right="-138"/>
              <w:jc w:val="center"/>
              <w:rPr>
                <w:bCs/>
                <w:sz w:val="22"/>
                <w:szCs w:val="22"/>
                <w:lang w:eastAsia="zh-CN"/>
              </w:rPr>
            </w:pPr>
            <w:r w:rsidRPr="00A7039A">
              <w:rPr>
                <w:bCs/>
                <w:sz w:val="22"/>
                <w:szCs w:val="22"/>
                <w:lang w:eastAsia="zh-CN"/>
              </w:rPr>
              <w:t>До</w:t>
            </w:r>
          </w:p>
          <w:p w14:paraId="2096459A" w14:textId="20494B52" w:rsidR="00815334" w:rsidRPr="00815334" w:rsidRDefault="00815334" w:rsidP="00EE7AA9">
            <w:pPr>
              <w:widowControl w:val="0"/>
              <w:suppressAutoHyphens/>
              <w:autoSpaceDE w:val="0"/>
              <w:ind w:right="-138"/>
              <w:jc w:val="center"/>
              <w:rPr>
                <w:bCs/>
                <w:sz w:val="22"/>
                <w:szCs w:val="22"/>
                <w:lang w:val="en-US" w:eastAsia="zh-CN"/>
              </w:rPr>
            </w:pPr>
            <w:r w:rsidRPr="00A7039A">
              <w:rPr>
                <w:bCs/>
                <w:sz w:val="22"/>
                <w:szCs w:val="22"/>
                <w:lang w:eastAsia="zh-CN"/>
              </w:rPr>
              <w:t>31.12.202</w:t>
            </w:r>
            <w:r>
              <w:rPr>
                <w:bCs/>
                <w:sz w:val="22"/>
                <w:szCs w:val="22"/>
                <w:lang w:val="en-US" w:eastAsia="zh-CN"/>
              </w:rPr>
              <w:t>4</w:t>
            </w:r>
          </w:p>
        </w:tc>
        <w:tc>
          <w:tcPr>
            <w:tcW w:w="2115" w:type="dxa"/>
            <w:tcBorders>
              <w:top w:val="single" w:sz="4" w:space="0" w:color="auto"/>
              <w:left w:val="single" w:sz="4" w:space="0" w:color="auto"/>
              <w:bottom w:val="single" w:sz="4" w:space="0" w:color="auto"/>
              <w:right w:val="single" w:sz="4" w:space="0" w:color="auto"/>
            </w:tcBorders>
          </w:tcPr>
          <w:p w14:paraId="3FF8F26C" w14:textId="77777777" w:rsidR="00815334" w:rsidRPr="00A7039A" w:rsidRDefault="00815334" w:rsidP="00EE7AA9">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bl>
    <w:p w14:paraId="1B19418C" w14:textId="17933841" w:rsidR="004D74E2" w:rsidRPr="00203BFA" w:rsidRDefault="002C1A8C" w:rsidP="004D74E2">
      <w:pPr>
        <w:jc w:val="both"/>
        <w:rPr>
          <w:b/>
          <w:bCs/>
          <w:u w:val="single"/>
          <w:lang w:val="uk-UA"/>
        </w:rPr>
      </w:pPr>
      <w:r>
        <w:rPr>
          <w:b/>
          <w:bCs/>
          <w:u w:val="single"/>
          <w:lang w:val="uk-UA"/>
        </w:rPr>
        <w:br/>
      </w: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C807642"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745B12C"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57AAADBD" w14:textId="77777777" w:rsidR="00020B3C" w:rsidRPr="00A7039A" w:rsidRDefault="00020B3C" w:rsidP="00020B3C">
      <w:pPr>
        <w:ind w:left="-567"/>
        <w:jc w:val="both"/>
      </w:pPr>
      <w:r w:rsidRPr="00A7039A">
        <w:t xml:space="preserve"> </w:t>
      </w: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lastRenderedPageBreak/>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4851D938" w14:textId="77777777" w:rsidR="00020B3C" w:rsidRPr="00EA5E60" w:rsidRDefault="00020B3C" w:rsidP="00020B3C">
      <w:pPr>
        <w:jc w:val="both"/>
        <w:rPr>
          <w:b/>
          <w:bCs/>
          <w:i/>
          <w:iCs/>
        </w:rPr>
      </w:pPr>
    </w:p>
    <w:p w14:paraId="070717FB" w14:textId="77777777" w:rsidR="00020B3C" w:rsidRDefault="00020B3C" w:rsidP="00020B3C">
      <w:pPr>
        <w:ind w:left="-284"/>
        <w:jc w:val="both"/>
        <w:rPr>
          <w:i/>
          <w:iCs/>
        </w:rPr>
      </w:pPr>
      <w:r>
        <w:rPr>
          <w:b/>
          <w:bCs/>
          <w:lang w:val="uk-UA"/>
        </w:rPr>
        <w:t xml:space="preserve">5. </w:t>
      </w:r>
      <w:proofErr w:type="spellStart"/>
      <w:r w:rsidRPr="00DD23C8">
        <w:rPr>
          <w:i/>
          <w:iCs/>
        </w:rPr>
        <w:t>Учасник</w:t>
      </w:r>
      <w:proofErr w:type="spellEnd"/>
      <w:r w:rsidRPr="00DD23C8">
        <w:rPr>
          <w:i/>
          <w:iCs/>
        </w:rPr>
        <w:t xml:space="preserve">, </w:t>
      </w:r>
      <w:proofErr w:type="spellStart"/>
      <w:r w:rsidRPr="00DD23C8">
        <w:rPr>
          <w:i/>
          <w:iCs/>
        </w:rPr>
        <w:t>відповідно</w:t>
      </w:r>
      <w:proofErr w:type="spellEnd"/>
      <w:r w:rsidRPr="00DD23C8">
        <w:rPr>
          <w:i/>
          <w:iCs/>
        </w:rPr>
        <w:t xml:space="preserve"> до </w:t>
      </w:r>
      <w:r w:rsidRPr="00DD23C8">
        <w:rPr>
          <w:b/>
          <w:bCs/>
          <w:i/>
          <w:iCs/>
        </w:rPr>
        <w:t>ст. 25 ЗУ «</w:t>
      </w:r>
      <w:r w:rsidRPr="00DD23C8">
        <w:rPr>
          <w:b/>
          <w:bCs/>
          <w:i/>
          <w:iCs/>
          <w:lang w:val="ru-UA"/>
        </w:rPr>
        <w:t>Про основні принципи та вимоги до безпечності та якості харчових продуктів</w:t>
      </w:r>
      <w:r w:rsidRPr="00DD23C8">
        <w:rPr>
          <w:b/>
          <w:bCs/>
          <w:i/>
          <w:iCs/>
        </w:rPr>
        <w:t>» (</w:t>
      </w:r>
      <w:proofErr w:type="spellStart"/>
      <w:r w:rsidRPr="00DD23C8">
        <w:rPr>
          <w:b/>
          <w:bCs/>
          <w:i/>
          <w:iCs/>
        </w:rPr>
        <w:t>далі</w:t>
      </w:r>
      <w:proofErr w:type="spellEnd"/>
      <w:r w:rsidRPr="00DD23C8">
        <w:rPr>
          <w:b/>
          <w:bCs/>
          <w:i/>
          <w:iCs/>
        </w:rPr>
        <w:t xml:space="preserve"> – Закон)</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підтвердження</w:t>
      </w:r>
      <w:proofErr w:type="spellEnd"/>
      <w:r w:rsidRPr="00DD23C8">
        <w:rPr>
          <w:i/>
          <w:iCs/>
        </w:rPr>
        <w:t xml:space="preserve"> </w:t>
      </w:r>
      <w:proofErr w:type="spellStart"/>
      <w:r w:rsidRPr="00DD23C8">
        <w:rPr>
          <w:i/>
          <w:iCs/>
        </w:rPr>
        <w:t>державної</w:t>
      </w:r>
      <w:proofErr w:type="spellEnd"/>
      <w:r w:rsidRPr="00DD23C8">
        <w:rPr>
          <w:i/>
          <w:iCs/>
        </w:rPr>
        <w:t xml:space="preserve"> </w:t>
      </w:r>
      <w:proofErr w:type="spellStart"/>
      <w:r w:rsidRPr="00DD23C8">
        <w:rPr>
          <w:i/>
          <w:iCs/>
        </w:rPr>
        <w:t>реєстрації</w:t>
      </w:r>
      <w:proofErr w:type="spellEnd"/>
      <w:r w:rsidRPr="00DD23C8">
        <w:rPr>
          <w:i/>
          <w:iCs/>
        </w:rPr>
        <w:t xml:space="preserve"> </w:t>
      </w:r>
      <w:proofErr w:type="spellStart"/>
      <w:r w:rsidRPr="00DD23C8">
        <w:rPr>
          <w:i/>
          <w:iCs/>
        </w:rPr>
        <w:t>потужності</w:t>
      </w:r>
      <w:proofErr w:type="spellEnd"/>
      <w:r w:rsidRPr="00DD23C8">
        <w:rPr>
          <w:i/>
          <w:iCs/>
        </w:rPr>
        <w:t xml:space="preserve"> з </w:t>
      </w:r>
      <w:proofErr w:type="spellStart"/>
      <w:r w:rsidRPr="00DD23C8">
        <w:rPr>
          <w:i/>
          <w:iCs/>
        </w:rPr>
        <w:t>виробництва</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обігу</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AB5F0F">
        <w:rPr>
          <w:b/>
          <w:bCs/>
          <w:i/>
          <w:iCs/>
        </w:rPr>
        <w:t>або</w:t>
      </w:r>
      <w:proofErr w:type="spellEnd"/>
      <w:r w:rsidRPr="00DD23C8">
        <w:rPr>
          <w:i/>
          <w:iCs/>
        </w:rPr>
        <w:t xml:space="preserve"> </w:t>
      </w:r>
      <w:proofErr w:type="spellStart"/>
      <w:r w:rsidRPr="00DD23C8">
        <w:rPr>
          <w:i/>
          <w:iCs/>
        </w:rPr>
        <w:t>відповідно</w:t>
      </w:r>
      <w:proofErr w:type="spellEnd"/>
      <w:r w:rsidRPr="00DD23C8">
        <w:rPr>
          <w:i/>
          <w:iCs/>
        </w:rPr>
        <w:t xml:space="preserve"> до ст. </w:t>
      </w:r>
      <w:r w:rsidRPr="00DD23C8">
        <w:rPr>
          <w:b/>
          <w:bCs/>
          <w:i/>
          <w:iCs/>
        </w:rPr>
        <w:t>23 Закону</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експлуатаційний</w:t>
      </w:r>
      <w:proofErr w:type="spellEnd"/>
      <w:r w:rsidRPr="00DD23C8">
        <w:rPr>
          <w:i/>
          <w:iCs/>
        </w:rPr>
        <w:t xml:space="preserve"> </w:t>
      </w:r>
      <w:proofErr w:type="spellStart"/>
      <w:r w:rsidRPr="00DD23C8">
        <w:rPr>
          <w:i/>
          <w:iCs/>
        </w:rPr>
        <w:t>дозвіл</w:t>
      </w:r>
      <w:proofErr w:type="spellEnd"/>
      <w:r w:rsidRPr="00DD23C8">
        <w:rPr>
          <w:i/>
          <w:iCs/>
        </w:rPr>
        <w:t xml:space="preserve"> (в </w:t>
      </w:r>
      <w:proofErr w:type="spellStart"/>
      <w:r w:rsidRPr="00DD23C8">
        <w:rPr>
          <w:i/>
          <w:iCs/>
        </w:rPr>
        <w:t>разі</w:t>
      </w:r>
      <w:proofErr w:type="spellEnd"/>
      <w:r w:rsidRPr="00DD23C8">
        <w:rPr>
          <w:i/>
          <w:iCs/>
        </w:rPr>
        <w:t xml:space="preserve">, </w:t>
      </w:r>
      <w:proofErr w:type="spellStart"/>
      <w:r w:rsidRPr="00DD23C8">
        <w:rPr>
          <w:i/>
          <w:iCs/>
        </w:rPr>
        <w:t>якщо</w:t>
      </w:r>
      <w:proofErr w:type="spellEnd"/>
      <w:r w:rsidRPr="00DD23C8">
        <w:rPr>
          <w:i/>
          <w:iCs/>
        </w:rPr>
        <w:t xml:space="preserve"> </w:t>
      </w:r>
      <w:proofErr w:type="spellStart"/>
      <w:r w:rsidRPr="00DD23C8">
        <w:rPr>
          <w:i/>
          <w:iCs/>
        </w:rPr>
        <w:t>Учасник</w:t>
      </w:r>
      <w:proofErr w:type="spellEnd"/>
      <w:r w:rsidRPr="00DD23C8">
        <w:rPr>
          <w:i/>
          <w:iCs/>
        </w:rPr>
        <w:t xml:space="preserve">, </w:t>
      </w:r>
      <w:proofErr w:type="spellStart"/>
      <w:r w:rsidRPr="00DD23C8">
        <w:rPr>
          <w:i/>
          <w:iCs/>
        </w:rPr>
        <w:t>пров</w:t>
      </w:r>
      <w:proofErr w:type="spellEnd"/>
      <w:r>
        <w:rPr>
          <w:i/>
          <w:iCs/>
          <w:lang w:val="uk-UA"/>
        </w:rPr>
        <w:t>а</w:t>
      </w:r>
      <w:r w:rsidRPr="00DD23C8">
        <w:rPr>
          <w:i/>
          <w:iCs/>
        </w:rPr>
        <w:t>д</w:t>
      </w:r>
      <w:r>
        <w:rPr>
          <w:i/>
          <w:iCs/>
          <w:lang w:val="uk-UA"/>
        </w:rPr>
        <w:t>и</w:t>
      </w:r>
      <w:proofErr w:type="spellStart"/>
      <w:r w:rsidRPr="00DD23C8">
        <w:rPr>
          <w:i/>
          <w:iCs/>
        </w:rPr>
        <w:t>ть</w:t>
      </w:r>
      <w:proofErr w:type="spellEnd"/>
      <w:r w:rsidRPr="00DD23C8">
        <w:rPr>
          <w:i/>
          <w:iCs/>
        </w:rPr>
        <w:t xml:space="preserve"> </w:t>
      </w:r>
      <w:proofErr w:type="spellStart"/>
      <w:r w:rsidRPr="00DD23C8">
        <w:rPr>
          <w:i/>
          <w:iCs/>
        </w:rPr>
        <w:t>діяльність</w:t>
      </w:r>
      <w:proofErr w:type="spellEnd"/>
      <w:r w:rsidRPr="00DD23C8">
        <w:rPr>
          <w:i/>
          <w:iCs/>
        </w:rPr>
        <w:t xml:space="preserve">, </w:t>
      </w:r>
      <w:proofErr w:type="spellStart"/>
      <w:r w:rsidRPr="00DD23C8">
        <w:rPr>
          <w:i/>
          <w:iCs/>
        </w:rPr>
        <w:t>пов’язану</w:t>
      </w:r>
      <w:proofErr w:type="spellEnd"/>
      <w:r w:rsidRPr="00DD23C8">
        <w:rPr>
          <w:i/>
          <w:iCs/>
        </w:rPr>
        <w:t xml:space="preserve"> з </w:t>
      </w:r>
      <w:proofErr w:type="spellStart"/>
      <w:r w:rsidRPr="00DD23C8">
        <w:rPr>
          <w:i/>
          <w:iCs/>
        </w:rPr>
        <w:t>виробництвом</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зберіганням</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DD23C8">
        <w:rPr>
          <w:i/>
          <w:iCs/>
        </w:rPr>
        <w:t>тваринного</w:t>
      </w:r>
      <w:proofErr w:type="spellEnd"/>
      <w:r w:rsidRPr="00DD23C8">
        <w:rPr>
          <w:i/>
          <w:iCs/>
        </w:rPr>
        <w:t xml:space="preserve"> </w:t>
      </w:r>
      <w:proofErr w:type="spellStart"/>
      <w:r w:rsidRPr="00DD23C8">
        <w:rPr>
          <w:i/>
          <w:iCs/>
        </w:rPr>
        <w:t>походження</w:t>
      </w:r>
      <w:proofErr w:type="spellEnd"/>
      <w:r w:rsidRPr="00DD23C8">
        <w:rPr>
          <w:i/>
          <w:iCs/>
        </w:rPr>
        <w:t>).</w:t>
      </w:r>
    </w:p>
    <w:p w14:paraId="362FBB78" w14:textId="77777777" w:rsidR="00020B3C" w:rsidRPr="00EA5E60" w:rsidRDefault="00020B3C" w:rsidP="00020B3C">
      <w:pPr>
        <w:ind w:left="-284"/>
        <w:jc w:val="both"/>
        <w:rPr>
          <w:b/>
          <w:bCs/>
          <w:i/>
          <w:iCs/>
        </w:rPr>
      </w:pPr>
    </w:p>
    <w:p w14:paraId="6037C8C7" w14:textId="77777777" w:rsidR="00020B3C" w:rsidRPr="00A7039A" w:rsidRDefault="00020B3C" w:rsidP="00020B3C">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571E607E" w14:textId="77777777" w:rsidR="00020B3C" w:rsidRPr="00203BFA" w:rsidRDefault="00020B3C" w:rsidP="00020B3C">
      <w:pPr>
        <w:jc w:val="both"/>
        <w:rPr>
          <w:b/>
          <w:bCs/>
          <w:u w:val="single"/>
          <w:lang w:val="uk-UA"/>
        </w:rPr>
      </w:pP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020B3C" w:rsidRPr="006C3395" w14:paraId="6BAA11C8"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B62E52">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7777777"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5019B3D5" w14:textId="6240E15D" w:rsidR="00020B3C" w:rsidRPr="00E45F0E" w:rsidRDefault="00020B3C" w:rsidP="00B62E52">
            <w:pPr>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 xml:space="preserve">коду </w:t>
            </w:r>
            <w:r w:rsidR="00815334" w:rsidRPr="00376A38">
              <w:rPr>
                <w:b/>
                <w:sz w:val="22"/>
                <w:szCs w:val="22"/>
                <w:lang w:val="uk-UA"/>
              </w:rPr>
              <w:t xml:space="preserve">ДК 021:2015 - </w:t>
            </w:r>
            <w:r w:rsidR="00815334" w:rsidRPr="00DB3EB3">
              <w:rPr>
                <w:b/>
                <w:sz w:val="22"/>
                <w:szCs w:val="22"/>
                <w:lang w:val="uk-UA"/>
              </w:rPr>
              <w:t>03220000-9 - Овочі, фрукти та горіхи</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A524A19" w14:textId="31F178E6" w:rsidR="005E138C" w:rsidRDefault="005E138C" w:rsidP="00087933">
      <w:pPr>
        <w:pBdr>
          <w:top w:val="nil"/>
          <w:left w:val="nil"/>
          <w:bottom w:val="nil"/>
          <w:right w:val="nil"/>
          <w:between w:val="nil"/>
        </w:pBdr>
        <w:jc w:val="both"/>
        <w:rPr>
          <w:b/>
          <w:bCs/>
          <w:color w:val="000000"/>
          <w:lang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lastRenderedPageBreak/>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9"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0"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1"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2"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4">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728A4412" w:rsidR="00020B3C" w:rsidRPr="00E45F0E" w:rsidRDefault="00020B3C" w:rsidP="00020B3C">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r w:rsidR="00815334">
        <w:rPr>
          <w:b/>
          <w:lang w:val="uk-UA"/>
        </w:rPr>
        <w:t xml:space="preserve">Свіжі овочі </w:t>
      </w:r>
      <w:r w:rsidR="00815334" w:rsidRPr="003554F6">
        <w:rPr>
          <w:b/>
          <w:lang w:val="uk-UA"/>
        </w:rPr>
        <w:t xml:space="preserve">ДК 021:2015 - </w:t>
      </w:r>
      <w:r w:rsidR="00815334" w:rsidRPr="00DB3EB3">
        <w:rPr>
          <w:b/>
          <w:lang w:val="uk-UA"/>
        </w:rPr>
        <w:t>03220000-9 - Овочі, фрукти та горіхи</w:t>
      </w:r>
      <w:r w:rsidR="00815334">
        <w:rPr>
          <w:b/>
          <w:lang w:val="uk-UA"/>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lastRenderedPageBreak/>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5"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8" w:name="n75"/>
      <w:bookmarkEnd w:id="8"/>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9" w:name="n76"/>
      <w:bookmarkEnd w:id="9"/>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10" w:name="n77"/>
      <w:bookmarkEnd w:id="10"/>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11" w:name="n78"/>
      <w:bookmarkEnd w:id="11"/>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2" w:name="n79"/>
      <w:bookmarkEnd w:id="12"/>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3" w:name="n80"/>
      <w:bookmarkEnd w:id="13"/>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4" w:name="n81"/>
      <w:bookmarkEnd w:id="14"/>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5"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5"/>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098469F5" w14:textId="6C8F7E62" w:rsidR="00020B3C" w:rsidRDefault="00815334" w:rsidP="00020B3C">
      <w:pPr>
        <w:jc w:val="center"/>
        <w:rPr>
          <w:b/>
        </w:rPr>
      </w:pPr>
      <w:r>
        <w:rPr>
          <w:b/>
          <w:lang w:val="uk-UA"/>
        </w:rPr>
        <w:t xml:space="preserve">Свіжі овочі </w:t>
      </w:r>
      <w:r w:rsidRPr="003554F6">
        <w:rPr>
          <w:b/>
          <w:lang w:val="uk-UA"/>
        </w:rPr>
        <w:t xml:space="preserve">ДК 021:2015 - </w:t>
      </w:r>
      <w:r w:rsidRPr="00DB3EB3">
        <w:rPr>
          <w:b/>
          <w:lang w:val="uk-UA"/>
        </w:rPr>
        <w:t>03220000-9 - Овочі, фрукти та горіхи</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020B3C" w:rsidRPr="00F22C97" w14:paraId="6B080FA5" w14:textId="77777777" w:rsidTr="00B62E52">
        <w:trPr>
          <w:trHeight w:val="900"/>
        </w:trPr>
        <w:tc>
          <w:tcPr>
            <w:tcW w:w="713"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2003FBD3" w14:textId="77777777"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B62E52">
        <w:trPr>
          <w:trHeight w:val="324"/>
        </w:trPr>
        <w:tc>
          <w:tcPr>
            <w:tcW w:w="713"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4"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7"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8"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1873" w:type="dxa"/>
          </w:tcPr>
          <w:p w14:paraId="5F87EF01" w14:textId="77777777" w:rsidR="00020B3C" w:rsidRPr="00F22C97" w:rsidRDefault="00020B3C" w:rsidP="00B62E52">
            <w:pPr>
              <w:rPr>
                <w:rFonts w:eastAsia="Calibri"/>
              </w:rPr>
            </w:pPr>
          </w:p>
        </w:tc>
        <w:tc>
          <w:tcPr>
            <w:tcW w:w="2521" w:type="dxa"/>
          </w:tcPr>
          <w:p w14:paraId="7CE8F5F7" w14:textId="77777777" w:rsidR="00020B3C" w:rsidRPr="00F22C97" w:rsidRDefault="00020B3C" w:rsidP="00B62E52">
            <w:pPr>
              <w:rPr>
                <w:rFonts w:eastAsia="Calibri"/>
              </w:rPr>
            </w:pPr>
          </w:p>
        </w:tc>
      </w:tr>
      <w:tr w:rsidR="00815334" w:rsidRPr="00F22C97" w14:paraId="3425AB62" w14:textId="77777777" w:rsidTr="00B62E52">
        <w:trPr>
          <w:trHeight w:val="324"/>
        </w:trPr>
        <w:tc>
          <w:tcPr>
            <w:tcW w:w="713" w:type="dxa"/>
            <w:vAlign w:val="bottom"/>
          </w:tcPr>
          <w:p w14:paraId="1CF2B898" w14:textId="10DDD721" w:rsidR="00815334" w:rsidRPr="00F22C97" w:rsidRDefault="00815334" w:rsidP="00B62E52">
            <w:pPr>
              <w:rPr>
                <w:rFonts w:eastAsia="Times New Roman"/>
                <w:lang w:val="uk-UA"/>
              </w:rPr>
            </w:pPr>
            <w:r>
              <w:rPr>
                <w:rFonts w:eastAsia="Times New Roman"/>
                <w:lang w:val="uk-UA"/>
              </w:rPr>
              <w:t>…</w:t>
            </w:r>
          </w:p>
        </w:tc>
        <w:tc>
          <w:tcPr>
            <w:tcW w:w="1954" w:type="dxa"/>
            <w:shd w:val="clear" w:color="auto" w:fill="auto"/>
            <w:vAlign w:val="bottom"/>
          </w:tcPr>
          <w:p w14:paraId="26A05625" w14:textId="77777777" w:rsidR="00815334" w:rsidRPr="00F22C97" w:rsidRDefault="00815334" w:rsidP="00B62E52">
            <w:pPr>
              <w:jc w:val="both"/>
              <w:rPr>
                <w:rFonts w:eastAsia="Times New Roman"/>
                <w:color w:val="FF0000"/>
                <w:lang w:val="uk-UA"/>
              </w:rPr>
            </w:pPr>
          </w:p>
        </w:tc>
        <w:tc>
          <w:tcPr>
            <w:tcW w:w="1417" w:type="dxa"/>
            <w:shd w:val="clear" w:color="auto" w:fill="auto"/>
            <w:vAlign w:val="bottom"/>
          </w:tcPr>
          <w:p w14:paraId="70158262" w14:textId="77777777" w:rsidR="00815334" w:rsidRPr="00F22C97" w:rsidRDefault="00815334" w:rsidP="00B62E52">
            <w:pPr>
              <w:jc w:val="center"/>
              <w:rPr>
                <w:rFonts w:eastAsia="Times New Roman"/>
                <w:lang w:val="uk-UA"/>
              </w:rPr>
            </w:pPr>
          </w:p>
        </w:tc>
        <w:tc>
          <w:tcPr>
            <w:tcW w:w="1418" w:type="dxa"/>
            <w:shd w:val="clear" w:color="auto" w:fill="auto"/>
          </w:tcPr>
          <w:p w14:paraId="0437EB9B" w14:textId="77777777" w:rsidR="00815334" w:rsidRPr="00F22C97" w:rsidRDefault="00815334" w:rsidP="00B62E52">
            <w:pPr>
              <w:rPr>
                <w:rFonts w:eastAsia="Arial"/>
                <w:lang w:val="uk-UA"/>
              </w:rPr>
            </w:pPr>
          </w:p>
        </w:tc>
        <w:tc>
          <w:tcPr>
            <w:tcW w:w="1873" w:type="dxa"/>
          </w:tcPr>
          <w:p w14:paraId="7056527A" w14:textId="77777777" w:rsidR="00815334" w:rsidRPr="00F22C97" w:rsidRDefault="00815334" w:rsidP="00B62E52">
            <w:pPr>
              <w:rPr>
                <w:rFonts w:eastAsia="Calibri"/>
              </w:rPr>
            </w:pPr>
          </w:p>
        </w:tc>
        <w:tc>
          <w:tcPr>
            <w:tcW w:w="2521" w:type="dxa"/>
          </w:tcPr>
          <w:p w14:paraId="3AA702DD" w14:textId="77777777" w:rsidR="00815334" w:rsidRPr="00F22C97" w:rsidRDefault="00815334" w:rsidP="00B62E52">
            <w:pPr>
              <w:rPr>
                <w:rFonts w:eastAsia="Calibri"/>
              </w:rPr>
            </w:pPr>
          </w:p>
        </w:tc>
      </w:tr>
      <w:tr w:rsidR="00815334" w:rsidRPr="00F22C97" w14:paraId="1093349D" w14:textId="77777777" w:rsidTr="00B62E52">
        <w:trPr>
          <w:trHeight w:val="324"/>
        </w:trPr>
        <w:tc>
          <w:tcPr>
            <w:tcW w:w="713" w:type="dxa"/>
            <w:vAlign w:val="bottom"/>
          </w:tcPr>
          <w:p w14:paraId="7ECDA02E" w14:textId="69739B93" w:rsidR="00815334" w:rsidRPr="00F22C97" w:rsidRDefault="00815334" w:rsidP="00B62E52">
            <w:pPr>
              <w:rPr>
                <w:rFonts w:eastAsia="Times New Roman"/>
                <w:lang w:val="uk-UA"/>
              </w:rPr>
            </w:pPr>
            <w:r>
              <w:rPr>
                <w:rFonts w:eastAsia="Times New Roman"/>
                <w:lang w:val="uk-UA"/>
              </w:rPr>
              <w:t>….</w:t>
            </w:r>
          </w:p>
        </w:tc>
        <w:tc>
          <w:tcPr>
            <w:tcW w:w="1954" w:type="dxa"/>
            <w:shd w:val="clear" w:color="auto" w:fill="auto"/>
            <w:vAlign w:val="bottom"/>
          </w:tcPr>
          <w:p w14:paraId="3186EE83" w14:textId="77777777" w:rsidR="00815334" w:rsidRPr="00F22C97" w:rsidRDefault="00815334" w:rsidP="00B62E52">
            <w:pPr>
              <w:jc w:val="both"/>
              <w:rPr>
                <w:rFonts w:eastAsia="Times New Roman"/>
                <w:color w:val="FF0000"/>
                <w:lang w:val="uk-UA"/>
              </w:rPr>
            </w:pPr>
          </w:p>
        </w:tc>
        <w:tc>
          <w:tcPr>
            <w:tcW w:w="1417" w:type="dxa"/>
            <w:shd w:val="clear" w:color="auto" w:fill="auto"/>
            <w:vAlign w:val="bottom"/>
          </w:tcPr>
          <w:p w14:paraId="2078DD5A" w14:textId="77777777" w:rsidR="00815334" w:rsidRPr="00F22C97" w:rsidRDefault="00815334" w:rsidP="00B62E52">
            <w:pPr>
              <w:jc w:val="center"/>
              <w:rPr>
                <w:rFonts w:eastAsia="Times New Roman"/>
                <w:lang w:val="uk-UA"/>
              </w:rPr>
            </w:pPr>
          </w:p>
        </w:tc>
        <w:tc>
          <w:tcPr>
            <w:tcW w:w="1418" w:type="dxa"/>
            <w:shd w:val="clear" w:color="auto" w:fill="auto"/>
          </w:tcPr>
          <w:p w14:paraId="57D07D4A" w14:textId="77777777" w:rsidR="00815334" w:rsidRPr="00F22C97" w:rsidRDefault="00815334" w:rsidP="00B62E52">
            <w:pPr>
              <w:rPr>
                <w:rFonts w:eastAsia="Arial"/>
                <w:lang w:val="uk-UA"/>
              </w:rPr>
            </w:pPr>
          </w:p>
        </w:tc>
        <w:tc>
          <w:tcPr>
            <w:tcW w:w="1873" w:type="dxa"/>
          </w:tcPr>
          <w:p w14:paraId="7463778A" w14:textId="77777777" w:rsidR="00815334" w:rsidRPr="00F22C97" w:rsidRDefault="00815334" w:rsidP="00B62E52">
            <w:pPr>
              <w:rPr>
                <w:rFonts w:eastAsia="Calibri"/>
              </w:rPr>
            </w:pPr>
          </w:p>
        </w:tc>
        <w:tc>
          <w:tcPr>
            <w:tcW w:w="2521" w:type="dxa"/>
          </w:tcPr>
          <w:p w14:paraId="26EDEC69" w14:textId="77777777" w:rsidR="00815334" w:rsidRPr="00F22C97" w:rsidRDefault="00815334" w:rsidP="00B62E52">
            <w:pPr>
              <w:rPr>
                <w:rFonts w:eastAsia="Calibri"/>
              </w:rPr>
            </w:pPr>
          </w:p>
        </w:tc>
      </w:tr>
      <w:tr w:rsidR="00815334" w:rsidRPr="00F22C97" w14:paraId="47D41A14" w14:textId="77777777" w:rsidTr="00B62E52">
        <w:trPr>
          <w:trHeight w:val="324"/>
        </w:trPr>
        <w:tc>
          <w:tcPr>
            <w:tcW w:w="713" w:type="dxa"/>
            <w:vAlign w:val="bottom"/>
          </w:tcPr>
          <w:p w14:paraId="1DE98168" w14:textId="70F38E51" w:rsidR="00815334" w:rsidRPr="00F22C97" w:rsidRDefault="00815334" w:rsidP="00B62E52">
            <w:pPr>
              <w:rPr>
                <w:rFonts w:eastAsia="Times New Roman"/>
                <w:lang w:val="uk-UA"/>
              </w:rPr>
            </w:pPr>
            <w:r>
              <w:rPr>
                <w:rFonts w:eastAsia="Times New Roman"/>
                <w:lang w:val="uk-UA"/>
              </w:rPr>
              <w:t xml:space="preserve"> 8.</w:t>
            </w:r>
          </w:p>
        </w:tc>
        <w:tc>
          <w:tcPr>
            <w:tcW w:w="1954" w:type="dxa"/>
            <w:shd w:val="clear" w:color="auto" w:fill="auto"/>
            <w:vAlign w:val="bottom"/>
          </w:tcPr>
          <w:p w14:paraId="221640B5" w14:textId="77777777" w:rsidR="00815334" w:rsidRPr="00F22C97" w:rsidRDefault="00815334" w:rsidP="00B62E52">
            <w:pPr>
              <w:jc w:val="both"/>
              <w:rPr>
                <w:rFonts w:eastAsia="Times New Roman"/>
                <w:color w:val="FF0000"/>
                <w:lang w:val="uk-UA"/>
              </w:rPr>
            </w:pPr>
          </w:p>
        </w:tc>
        <w:tc>
          <w:tcPr>
            <w:tcW w:w="1417" w:type="dxa"/>
            <w:shd w:val="clear" w:color="auto" w:fill="auto"/>
            <w:vAlign w:val="bottom"/>
          </w:tcPr>
          <w:p w14:paraId="4ABD35FF" w14:textId="77777777" w:rsidR="00815334" w:rsidRPr="00F22C97" w:rsidRDefault="00815334" w:rsidP="00B62E52">
            <w:pPr>
              <w:jc w:val="center"/>
              <w:rPr>
                <w:rFonts w:eastAsia="Times New Roman"/>
                <w:lang w:val="uk-UA"/>
              </w:rPr>
            </w:pPr>
          </w:p>
        </w:tc>
        <w:tc>
          <w:tcPr>
            <w:tcW w:w="1418" w:type="dxa"/>
            <w:shd w:val="clear" w:color="auto" w:fill="auto"/>
          </w:tcPr>
          <w:p w14:paraId="57CD5419" w14:textId="77777777" w:rsidR="00815334" w:rsidRPr="00F22C97" w:rsidRDefault="00815334" w:rsidP="00B62E52">
            <w:pPr>
              <w:rPr>
                <w:rFonts w:eastAsia="Arial"/>
                <w:lang w:val="uk-UA"/>
              </w:rPr>
            </w:pPr>
          </w:p>
        </w:tc>
        <w:tc>
          <w:tcPr>
            <w:tcW w:w="1873" w:type="dxa"/>
          </w:tcPr>
          <w:p w14:paraId="7B202276" w14:textId="77777777" w:rsidR="00815334" w:rsidRPr="00F22C97" w:rsidRDefault="00815334" w:rsidP="00B62E52">
            <w:pPr>
              <w:rPr>
                <w:rFonts w:eastAsia="Calibri"/>
              </w:rPr>
            </w:pPr>
          </w:p>
        </w:tc>
        <w:tc>
          <w:tcPr>
            <w:tcW w:w="2521" w:type="dxa"/>
          </w:tcPr>
          <w:p w14:paraId="1AD711D7" w14:textId="77777777" w:rsidR="00815334" w:rsidRPr="00F22C97" w:rsidRDefault="00815334" w:rsidP="00B62E52">
            <w:pPr>
              <w:rPr>
                <w:rFonts w:eastAsia="Calibri"/>
              </w:rPr>
            </w:pPr>
          </w:p>
        </w:tc>
      </w:tr>
      <w:tr w:rsidR="00020B3C" w:rsidRPr="00F22C97" w14:paraId="2B69035E" w14:textId="77777777" w:rsidTr="00B62E52">
        <w:tblPrEx>
          <w:tblCellMar>
            <w:left w:w="108" w:type="dxa"/>
            <w:right w:w="108" w:type="dxa"/>
          </w:tblCellMar>
          <w:tblLook w:val="04A0" w:firstRow="1" w:lastRow="0" w:firstColumn="1" w:lastColumn="0" w:noHBand="0" w:noVBand="1"/>
        </w:tblPrEx>
        <w:tc>
          <w:tcPr>
            <w:tcW w:w="713" w:type="dxa"/>
            <w:shd w:val="clear" w:color="auto" w:fill="auto"/>
          </w:tcPr>
          <w:p w14:paraId="43FBB1F8" w14:textId="77777777" w:rsidR="00020B3C" w:rsidRPr="00F22C97" w:rsidRDefault="00020B3C" w:rsidP="00B62E52">
            <w:pPr>
              <w:rPr>
                <w:rFonts w:eastAsia="Calibri"/>
                <w:color w:val="000000"/>
              </w:rPr>
            </w:pPr>
          </w:p>
        </w:tc>
        <w:tc>
          <w:tcPr>
            <w:tcW w:w="9183" w:type="dxa"/>
            <w:gridSpan w:val="5"/>
            <w:shd w:val="clear" w:color="auto" w:fill="auto"/>
          </w:tcPr>
          <w:p w14:paraId="29E759B3" w14:textId="77777777" w:rsidR="00020B3C" w:rsidRPr="00F22C97" w:rsidRDefault="00020B3C" w:rsidP="00B62E52">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FB69" w14:textId="77777777" w:rsidR="00732F87" w:rsidRDefault="00732F87" w:rsidP="004D74E2">
      <w:r>
        <w:separator/>
      </w:r>
    </w:p>
  </w:endnote>
  <w:endnote w:type="continuationSeparator" w:id="0">
    <w:p w14:paraId="6E13A908" w14:textId="77777777" w:rsidR="00732F87" w:rsidRDefault="00732F87"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3234" w14:textId="77777777" w:rsidR="00732F87" w:rsidRDefault="00732F87" w:rsidP="004D74E2">
      <w:r>
        <w:separator/>
      </w:r>
    </w:p>
  </w:footnote>
  <w:footnote w:type="continuationSeparator" w:id="0">
    <w:p w14:paraId="147D41BA" w14:textId="77777777" w:rsidR="00732F87" w:rsidRDefault="00732F87"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20B3C"/>
    <w:rsid w:val="00087933"/>
    <w:rsid w:val="001672B9"/>
    <w:rsid w:val="001976C5"/>
    <w:rsid w:val="001D642F"/>
    <w:rsid w:val="00235708"/>
    <w:rsid w:val="002C1A8C"/>
    <w:rsid w:val="002C274F"/>
    <w:rsid w:val="003125C7"/>
    <w:rsid w:val="003E6F38"/>
    <w:rsid w:val="00445191"/>
    <w:rsid w:val="00475F71"/>
    <w:rsid w:val="00480351"/>
    <w:rsid w:val="004D74E2"/>
    <w:rsid w:val="00580494"/>
    <w:rsid w:val="005C62E1"/>
    <w:rsid w:val="005E138C"/>
    <w:rsid w:val="006857E3"/>
    <w:rsid w:val="006C22E3"/>
    <w:rsid w:val="006E6385"/>
    <w:rsid w:val="00732F87"/>
    <w:rsid w:val="007600AB"/>
    <w:rsid w:val="007724DA"/>
    <w:rsid w:val="007F1113"/>
    <w:rsid w:val="00815334"/>
    <w:rsid w:val="008302AA"/>
    <w:rsid w:val="0089324E"/>
    <w:rsid w:val="008D0244"/>
    <w:rsid w:val="008F7CF5"/>
    <w:rsid w:val="009E778C"/>
    <w:rsid w:val="00A30CD3"/>
    <w:rsid w:val="00A765F8"/>
    <w:rsid w:val="00A83283"/>
    <w:rsid w:val="00A92CF8"/>
    <w:rsid w:val="00A95A82"/>
    <w:rsid w:val="00B43306"/>
    <w:rsid w:val="00B56158"/>
    <w:rsid w:val="00BB2F64"/>
    <w:rsid w:val="00BC070D"/>
    <w:rsid w:val="00BC12C8"/>
    <w:rsid w:val="00C34880"/>
    <w:rsid w:val="00C87AB5"/>
    <w:rsid w:val="00CA718D"/>
    <w:rsid w:val="00D73D78"/>
    <w:rsid w:val="00D741DB"/>
    <w:rsid w:val="00DE6390"/>
    <w:rsid w:val="00E956EB"/>
    <w:rsid w:val="00EA73AF"/>
    <w:rsid w:val="00F22C97"/>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17887</Words>
  <Characters>101960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2</cp:revision>
  <dcterms:created xsi:type="dcterms:W3CDTF">2024-01-09T21:08:00Z</dcterms:created>
  <dcterms:modified xsi:type="dcterms:W3CDTF">2024-01-09T21:08:00Z</dcterms:modified>
</cp:coreProperties>
</file>