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67B8" w14:textId="77777777" w:rsidR="00E35913" w:rsidRPr="00E35913" w:rsidRDefault="00E35913" w:rsidP="00E35913">
      <w:pPr>
        <w:jc w:val="right"/>
        <w:rPr>
          <w:rFonts w:ascii="Times New Roman" w:hAnsi="Times New Roman" w:cs="Times New Roman"/>
          <w:bCs/>
          <w:color w:val="000000"/>
          <w:sz w:val="24"/>
          <w:szCs w:val="24"/>
          <w:lang w:eastAsia="en-US"/>
        </w:rPr>
      </w:pPr>
      <w:r w:rsidRPr="00E35913">
        <w:rPr>
          <w:rFonts w:ascii="Times New Roman" w:hAnsi="Times New Roman" w:cs="Times New Roman"/>
          <w:b/>
          <w:color w:val="000000"/>
          <w:sz w:val="24"/>
          <w:szCs w:val="24"/>
        </w:rPr>
        <w:t>Додаток № 1</w:t>
      </w:r>
    </w:p>
    <w:p w14:paraId="27189DD7" w14:textId="77777777" w:rsidR="00E35913" w:rsidRPr="00E35913" w:rsidRDefault="00E35913" w:rsidP="00E35913">
      <w:pPr>
        <w:ind w:left="6237" w:right="-25"/>
        <w:jc w:val="right"/>
        <w:rPr>
          <w:rFonts w:ascii="Times New Roman" w:hAnsi="Times New Roman" w:cs="Times New Roman"/>
          <w:b/>
          <w:color w:val="000000"/>
          <w:sz w:val="24"/>
          <w:szCs w:val="24"/>
        </w:rPr>
      </w:pPr>
      <w:r w:rsidRPr="00E35913">
        <w:rPr>
          <w:rFonts w:ascii="Times New Roman" w:hAnsi="Times New Roman" w:cs="Times New Roman"/>
          <w:b/>
          <w:color w:val="000000"/>
          <w:sz w:val="24"/>
          <w:szCs w:val="24"/>
        </w:rPr>
        <w:t>до тендерної документації</w:t>
      </w:r>
    </w:p>
    <w:p w14:paraId="766C0A15" w14:textId="77777777" w:rsidR="00E35913" w:rsidRPr="00E35913" w:rsidRDefault="00E35913" w:rsidP="00E35913">
      <w:pPr>
        <w:tabs>
          <w:tab w:val="left" w:pos="180"/>
        </w:tabs>
        <w:ind w:right="-25"/>
        <w:jc w:val="center"/>
        <w:rPr>
          <w:rFonts w:ascii="Times New Roman" w:hAnsi="Times New Roman" w:cs="Times New Roman"/>
          <w:b/>
          <w:color w:val="000000"/>
          <w:sz w:val="24"/>
          <w:szCs w:val="24"/>
        </w:rPr>
      </w:pPr>
    </w:p>
    <w:p w14:paraId="29CBC4B0" w14:textId="77777777" w:rsidR="00E35913" w:rsidRPr="00E35913" w:rsidRDefault="00E35913" w:rsidP="00E35913">
      <w:pPr>
        <w:widowControl w:val="0"/>
        <w:tabs>
          <w:tab w:val="left" w:pos="1080"/>
        </w:tabs>
        <w:spacing w:after="0" w:line="240" w:lineRule="auto"/>
        <w:jc w:val="center"/>
        <w:rPr>
          <w:rFonts w:ascii="Times New Roman" w:hAnsi="Times New Roman" w:cs="Times New Roman"/>
          <w:b/>
          <w:bCs/>
          <w:sz w:val="24"/>
          <w:szCs w:val="24"/>
        </w:rPr>
      </w:pPr>
    </w:p>
    <w:p w14:paraId="09454D90" w14:textId="77777777" w:rsidR="00E35913" w:rsidRPr="00E35913" w:rsidRDefault="00E35913" w:rsidP="00E35913">
      <w:pPr>
        <w:widowControl w:val="0"/>
        <w:tabs>
          <w:tab w:val="left" w:pos="1080"/>
        </w:tabs>
        <w:spacing w:after="0" w:line="240" w:lineRule="auto"/>
        <w:jc w:val="center"/>
        <w:rPr>
          <w:rFonts w:ascii="Times New Roman" w:hAnsi="Times New Roman" w:cs="Times New Roman"/>
          <w:b/>
          <w:bCs/>
          <w:sz w:val="24"/>
          <w:szCs w:val="24"/>
        </w:rPr>
      </w:pPr>
      <w:r w:rsidRPr="00E35913">
        <w:rPr>
          <w:rFonts w:ascii="Times New Roman" w:hAnsi="Times New Roman" w:cs="Times New Roman"/>
          <w:b/>
          <w:bCs/>
          <w:sz w:val="24"/>
          <w:szCs w:val="24"/>
        </w:rPr>
        <w:t xml:space="preserve">Кваліфікаційні (кваліфікаційний) критерії </w:t>
      </w:r>
    </w:p>
    <w:p w14:paraId="42BD3493" w14:textId="77777777" w:rsidR="00E35913" w:rsidRPr="00E35913" w:rsidRDefault="00E35913" w:rsidP="00E35913">
      <w:pPr>
        <w:widowControl w:val="0"/>
        <w:tabs>
          <w:tab w:val="left" w:pos="1080"/>
        </w:tabs>
        <w:spacing w:after="0" w:line="240" w:lineRule="auto"/>
        <w:jc w:val="center"/>
        <w:rPr>
          <w:rFonts w:ascii="Times New Roman" w:hAnsi="Times New Roman" w:cs="Times New Roman"/>
          <w:b/>
          <w:bCs/>
          <w:sz w:val="24"/>
          <w:szCs w:val="24"/>
        </w:rPr>
      </w:pPr>
      <w:r w:rsidRPr="00E35913">
        <w:rPr>
          <w:rFonts w:ascii="Times New Roman" w:hAnsi="Times New Roman" w:cs="Times New Roman"/>
          <w:b/>
          <w:bCs/>
          <w:sz w:val="24"/>
          <w:szCs w:val="24"/>
        </w:rPr>
        <w:t xml:space="preserve">процедури закупівлі відповідно до </w:t>
      </w:r>
      <w:hyperlink r:id="rId9" w:anchor="n1250" w:history="1">
        <w:r w:rsidRPr="00E35913">
          <w:rPr>
            <w:rFonts w:ascii="Times New Roman" w:hAnsi="Times New Roman" w:cs="Times New Roman"/>
            <w:b/>
            <w:bCs/>
            <w:sz w:val="24"/>
            <w:szCs w:val="24"/>
          </w:rPr>
          <w:t>статті 16</w:t>
        </w:r>
      </w:hyperlink>
      <w:r w:rsidRPr="00E35913">
        <w:rPr>
          <w:rFonts w:ascii="Times New Roman" w:hAnsi="Times New Roman" w:cs="Times New Roman"/>
          <w:b/>
          <w:bCs/>
          <w:sz w:val="24"/>
          <w:szCs w:val="24"/>
        </w:rPr>
        <w:t xml:space="preserve"> Закону </w:t>
      </w:r>
    </w:p>
    <w:p w14:paraId="6F96CC22" w14:textId="77777777" w:rsidR="00E35913" w:rsidRPr="00E35913" w:rsidRDefault="00E35913" w:rsidP="00E35913">
      <w:pPr>
        <w:widowControl w:val="0"/>
        <w:tabs>
          <w:tab w:val="left" w:pos="1080"/>
        </w:tabs>
        <w:spacing w:after="0" w:line="240" w:lineRule="auto"/>
        <w:jc w:val="center"/>
        <w:rPr>
          <w:rFonts w:ascii="Times New Roman" w:hAnsi="Times New Roman" w:cs="Times New Roman"/>
          <w:b/>
          <w:bCs/>
          <w:sz w:val="24"/>
          <w:szCs w:val="24"/>
        </w:rPr>
      </w:pPr>
      <w:r w:rsidRPr="00E35913">
        <w:rPr>
          <w:rFonts w:ascii="Times New Roman" w:hAnsi="Times New Roman" w:cs="Times New Roman"/>
          <w:b/>
          <w:bCs/>
          <w:sz w:val="24"/>
          <w:szCs w:val="24"/>
        </w:rPr>
        <w:t>та інформація про спосіб документального підтвердження відповідності Учасників установленим кваліфікаційним (кваліфікаційному) критеріям</w:t>
      </w:r>
    </w:p>
    <w:p w14:paraId="0722214D" w14:textId="77777777" w:rsidR="00E35913" w:rsidRPr="00E35913" w:rsidRDefault="00E35913" w:rsidP="00E35913">
      <w:pPr>
        <w:widowControl w:val="0"/>
        <w:tabs>
          <w:tab w:val="left" w:pos="1080"/>
        </w:tabs>
        <w:jc w:val="center"/>
        <w:rPr>
          <w:rFonts w:ascii="Times New Roman" w:hAnsi="Times New Roman" w:cs="Times New Roman"/>
          <w:b/>
          <w:bCs/>
          <w:sz w:val="24"/>
          <w:szCs w:val="24"/>
          <w:highlight w:val="cyan"/>
        </w:rPr>
      </w:pPr>
    </w:p>
    <w:p w14:paraId="43643EA5" w14:textId="77777777" w:rsidR="00E35913" w:rsidRPr="00E35913" w:rsidRDefault="00E35913" w:rsidP="00E35913">
      <w:pPr>
        <w:widowControl w:val="0"/>
        <w:tabs>
          <w:tab w:val="left" w:pos="1080"/>
        </w:tabs>
        <w:jc w:val="center"/>
        <w:rPr>
          <w:rFonts w:ascii="Times New Roman" w:hAnsi="Times New Roman" w:cs="Times New Roman"/>
          <w:b/>
          <w:bCs/>
          <w:sz w:val="24"/>
          <w:szCs w:val="24"/>
          <w:highlight w:val="cy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881"/>
        <w:gridCol w:w="7807"/>
      </w:tblGrid>
      <w:tr w:rsidR="00E35913" w:rsidRPr="00E35913" w14:paraId="3BBE481F" w14:textId="77777777" w:rsidTr="00E35913">
        <w:tc>
          <w:tcPr>
            <w:tcW w:w="518" w:type="dxa"/>
            <w:shd w:val="clear" w:color="auto" w:fill="FFFFFF" w:themeFill="background1"/>
            <w:vAlign w:val="center"/>
          </w:tcPr>
          <w:p w14:paraId="77C41834" w14:textId="77777777" w:rsidR="00E35913" w:rsidRPr="00E35913" w:rsidRDefault="00E35913" w:rsidP="00E35913">
            <w:pPr>
              <w:widowControl w:val="0"/>
              <w:tabs>
                <w:tab w:val="left" w:pos="1080"/>
              </w:tabs>
              <w:jc w:val="center"/>
              <w:rPr>
                <w:rFonts w:ascii="Times New Roman" w:hAnsi="Times New Roman" w:cs="Times New Roman"/>
                <w:b/>
                <w:bCs/>
                <w:sz w:val="24"/>
                <w:szCs w:val="24"/>
              </w:rPr>
            </w:pPr>
            <w:r w:rsidRPr="00E35913">
              <w:rPr>
                <w:rFonts w:ascii="Times New Roman" w:hAnsi="Times New Roman" w:cs="Times New Roman"/>
                <w:b/>
                <w:bCs/>
                <w:sz w:val="24"/>
                <w:szCs w:val="24"/>
              </w:rPr>
              <w:t>№ з/п</w:t>
            </w:r>
          </w:p>
        </w:tc>
        <w:tc>
          <w:tcPr>
            <w:tcW w:w="1881" w:type="dxa"/>
            <w:shd w:val="clear" w:color="auto" w:fill="FFFFFF" w:themeFill="background1"/>
            <w:vAlign w:val="center"/>
          </w:tcPr>
          <w:p w14:paraId="38E1820B" w14:textId="77777777" w:rsidR="00E35913" w:rsidRPr="00E35913" w:rsidRDefault="00E35913" w:rsidP="00E35913">
            <w:pPr>
              <w:widowControl w:val="0"/>
              <w:tabs>
                <w:tab w:val="left" w:pos="1080"/>
              </w:tabs>
              <w:jc w:val="center"/>
              <w:rPr>
                <w:rFonts w:ascii="Times New Roman" w:hAnsi="Times New Roman" w:cs="Times New Roman"/>
                <w:b/>
                <w:bCs/>
                <w:sz w:val="24"/>
                <w:szCs w:val="24"/>
              </w:rPr>
            </w:pPr>
            <w:r w:rsidRPr="00E35913">
              <w:rPr>
                <w:rFonts w:ascii="Times New Roman" w:hAnsi="Times New Roman" w:cs="Times New Roman"/>
                <w:b/>
                <w:bCs/>
                <w:sz w:val="24"/>
                <w:szCs w:val="24"/>
              </w:rPr>
              <w:t>Кваліфікаційні критерії відповідно до статті 16 Закону</w:t>
            </w:r>
          </w:p>
        </w:tc>
        <w:tc>
          <w:tcPr>
            <w:tcW w:w="7807" w:type="dxa"/>
            <w:shd w:val="clear" w:color="auto" w:fill="FFFFFF" w:themeFill="background1"/>
            <w:vAlign w:val="center"/>
          </w:tcPr>
          <w:p w14:paraId="3E46C347" w14:textId="77777777" w:rsidR="00E35913" w:rsidRPr="00E35913" w:rsidRDefault="00E35913" w:rsidP="00E35913">
            <w:pPr>
              <w:widowControl w:val="0"/>
              <w:tabs>
                <w:tab w:val="left" w:pos="1080"/>
              </w:tabs>
              <w:jc w:val="center"/>
              <w:rPr>
                <w:rFonts w:ascii="Times New Roman" w:hAnsi="Times New Roman" w:cs="Times New Roman"/>
                <w:b/>
                <w:bCs/>
                <w:sz w:val="24"/>
                <w:szCs w:val="24"/>
              </w:rPr>
            </w:pPr>
            <w:r w:rsidRPr="00E35913">
              <w:rPr>
                <w:rFonts w:ascii="Times New Roman" w:hAnsi="Times New Roman" w:cs="Times New Roman"/>
                <w:b/>
                <w:bCs/>
                <w:sz w:val="24"/>
                <w:szCs w:val="24"/>
              </w:rPr>
              <w:t xml:space="preserve">Документи для підтвердження відповідності Учасника кваліфікаційним (кваліфікаційному) критеріям </w:t>
            </w:r>
          </w:p>
        </w:tc>
      </w:tr>
      <w:tr w:rsidR="00E35913" w:rsidRPr="00E35913" w14:paraId="6BCD9245" w14:textId="77777777" w:rsidTr="00E35913">
        <w:tc>
          <w:tcPr>
            <w:tcW w:w="518" w:type="dxa"/>
            <w:vAlign w:val="center"/>
          </w:tcPr>
          <w:p w14:paraId="0DE19220" w14:textId="77777777" w:rsidR="00E35913" w:rsidRPr="00E35913" w:rsidRDefault="00E35913" w:rsidP="00E35913">
            <w:pPr>
              <w:widowControl w:val="0"/>
              <w:tabs>
                <w:tab w:val="left" w:pos="1080"/>
              </w:tabs>
              <w:jc w:val="center"/>
              <w:rPr>
                <w:rFonts w:ascii="Times New Roman" w:hAnsi="Times New Roman" w:cs="Times New Roman"/>
                <w:bCs/>
                <w:sz w:val="24"/>
                <w:szCs w:val="24"/>
              </w:rPr>
            </w:pPr>
            <w:r w:rsidRPr="00E35913">
              <w:rPr>
                <w:rFonts w:ascii="Times New Roman" w:hAnsi="Times New Roman" w:cs="Times New Roman"/>
                <w:bCs/>
                <w:sz w:val="24"/>
                <w:szCs w:val="24"/>
              </w:rPr>
              <w:t>1.</w:t>
            </w:r>
          </w:p>
        </w:tc>
        <w:tc>
          <w:tcPr>
            <w:tcW w:w="1881" w:type="dxa"/>
            <w:vAlign w:val="center"/>
          </w:tcPr>
          <w:p w14:paraId="21AF8655" w14:textId="77777777" w:rsidR="00E35913" w:rsidRPr="00E35913" w:rsidRDefault="00E35913" w:rsidP="00E35913">
            <w:pPr>
              <w:widowControl w:val="0"/>
              <w:tabs>
                <w:tab w:val="left" w:pos="1080"/>
              </w:tabs>
              <w:rPr>
                <w:rFonts w:ascii="Times New Roman" w:hAnsi="Times New Roman" w:cs="Times New Roman"/>
                <w:sz w:val="24"/>
                <w:szCs w:val="24"/>
              </w:rPr>
            </w:pPr>
            <w:r w:rsidRPr="00E35913">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807" w:type="dxa"/>
            <w:vAlign w:val="center"/>
          </w:tcPr>
          <w:p w14:paraId="65C120E6" w14:textId="77777777" w:rsidR="00E35913" w:rsidRPr="00E35913" w:rsidRDefault="00E35913" w:rsidP="00E35913">
            <w:pPr>
              <w:widowControl w:val="0"/>
              <w:tabs>
                <w:tab w:val="left" w:pos="1080"/>
              </w:tabs>
              <w:ind w:firstLine="334"/>
              <w:jc w:val="both"/>
              <w:rPr>
                <w:rFonts w:ascii="Times New Roman" w:hAnsi="Times New Roman" w:cs="Times New Roman"/>
                <w:sz w:val="24"/>
                <w:szCs w:val="24"/>
              </w:rPr>
            </w:pPr>
            <w:r w:rsidRPr="00E35913">
              <w:rPr>
                <w:rFonts w:ascii="Times New Roman" w:hAnsi="Times New Roman" w:cs="Times New Roman"/>
                <w:b/>
                <w:sz w:val="24"/>
                <w:szCs w:val="24"/>
              </w:rPr>
              <w:t>Копія/ї аналогічного/</w:t>
            </w:r>
            <w:proofErr w:type="spellStart"/>
            <w:r w:rsidRPr="00E35913">
              <w:rPr>
                <w:rFonts w:ascii="Times New Roman" w:hAnsi="Times New Roman" w:cs="Times New Roman"/>
                <w:b/>
                <w:sz w:val="24"/>
                <w:szCs w:val="24"/>
              </w:rPr>
              <w:t>их</w:t>
            </w:r>
            <w:proofErr w:type="spellEnd"/>
            <w:r w:rsidRPr="00E35913">
              <w:rPr>
                <w:rFonts w:ascii="Times New Roman" w:hAnsi="Times New Roman" w:cs="Times New Roman"/>
                <w:b/>
                <w:sz w:val="24"/>
                <w:szCs w:val="24"/>
              </w:rPr>
              <w:t>*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w:t>
            </w:r>
            <w:proofErr w:type="spellStart"/>
            <w:r w:rsidRPr="00E35913">
              <w:rPr>
                <w:rFonts w:ascii="Times New Roman" w:hAnsi="Times New Roman" w:cs="Times New Roman"/>
                <w:b/>
                <w:sz w:val="24"/>
                <w:szCs w:val="24"/>
              </w:rPr>
              <w:t>их</w:t>
            </w:r>
            <w:proofErr w:type="spellEnd"/>
            <w:r w:rsidRPr="00E35913">
              <w:rPr>
                <w:rFonts w:ascii="Times New Roman" w:hAnsi="Times New Roman" w:cs="Times New Roman"/>
                <w:b/>
                <w:sz w:val="24"/>
                <w:szCs w:val="24"/>
              </w:rPr>
              <w:t xml:space="preserve"> договорі/договорах </w:t>
            </w:r>
            <w:r w:rsidRPr="00E35913">
              <w:rPr>
                <w:rFonts w:ascii="Times New Roman" w:hAnsi="Times New Roman" w:cs="Times New Roman"/>
                <w:sz w:val="24"/>
                <w:szCs w:val="24"/>
              </w:rPr>
              <w:t>(акти наданих послуг/тощо)</w:t>
            </w:r>
            <w:r w:rsidRPr="00E35913">
              <w:rPr>
                <w:rFonts w:ascii="Times New Roman" w:hAnsi="Times New Roman" w:cs="Times New Roman"/>
                <w:b/>
                <w:sz w:val="24"/>
                <w:szCs w:val="24"/>
              </w:rPr>
              <w:t xml:space="preserve"> </w:t>
            </w:r>
          </w:p>
          <w:p w14:paraId="3D181655" w14:textId="77777777" w:rsidR="00E35913" w:rsidRPr="00E35913" w:rsidRDefault="00E35913" w:rsidP="00E35913">
            <w:pPr>
              <w:widowControl w:val="0"/>
              <w:tabs>
                <w:tab w:val="left" w:pos="1080"/>
              </w:tabs>
              <w:ind w:firstLine="334"/>
              <w:jc w:val="both"/>
              <w:rPr>
                <w:rFonts w:ascii="Times New Roman" w:hAnsi="Times New Roman" w:cs="Times New Roman"/>
                <w:i/>
                <w:sz w:val="24"/>
                <w:szCs w:val="24"/>
              </w:rPr>
            </w:pPr>
            <w:r w:rsidRPr="00E35913">
              <w:rPr>
                <w:rFonts w:ascii="Times New Roman" w:hAnsi="Times New Roman" w:cs="Times New Roman"/>
                <w:i/>
                <w:sz w:val="24"/>
                <w:szCs w:val="24"/>
              </w:rPr>
              <w:t>Аналогічний договір має бути наданий з додатками або іншими невід’ємними його частинами (специфікаціями, калькуляціями,  додатковими  угодами тощо).</w:t>
            </w:r>
          </w:p>
          <w:p w14:paraId="601DA19B" w14:textId="77777777" w:rsidR="00E35913" w:rsidRPr="00E35913" w:rsidRDefault="00E35913" w:rsidP="0041689A">
            <w:pPr>
              <w:widowControl w:val="0"/>
              <w:tabs>
                <w:tab w:val="left" w:pos="1080"/>
              </w:tabs>
              <w:ind w:firstLine="193"/>
              <w:jc w:val="both"/>
              <w:rPr>
                <w:rFonts w:ascii="Times New Roman" w:hAnsi="Times New Roman" w:cs="Times New Roman"/>
                <w:i/>
                <w:sz w:val="24"/>
                <w:szCs w:val="24"/>
              </w:rPr>
            </w:pPr>
            <w:r w:rsidRPr="00E35913">
              <w:rPr>
                <w:rFonts w:ascii="Times New Roman" w:hAnsi="Times New Roman" w:cs="Times New Roman"/>
                <w:b/>
                <w:i/>
                <w:sz w:val="24"/>
                <w:szCs w:val="24"/>
              </w:rPr>
              <w:t>*Під аналогічним договором сл</w:t>
            </w:r>
            <w:r w:rsidR="0041689A">
              <w:rPr>
                <w:rFonts w:ascii="Times New Roman" w:hAnsi="Times New Roman" w:cs="Times New Roman"/>
                <w:b/>
                <w:i/>
                <w:sz w:val="24"/>
                <w:szCs w:val="24"/>
              </w:rPr>
              <w:t>ід розуміти виконаний договір про надання послуг з</w:t>
            </w:r>
            <w:r w:rsidRPr="00E35913">
              <w:rPr>
                <w:rFonts w:ascii="Times New Roman" w:hAnsi="Times New Roman" w:cs="Times New Roman"/>
                <w:b/>
                <w:i/>
                <w:sz w:val="24"/>
                <w:szCs w:val="24"/>
              </w:rPr>
              <w:t xml:space="preserve"> аналогічного предмету цієї закупівлі (</w:t>
            </w:r>
            <w:r w:rsidRPr="0041689A">
              <w:rPr>
                <w:rFonts w:ascii="Times New Roman" w:hAnsi="Times New Roman" w:cs="Times New Roman"/>
                <w:b/>
                <w:i/>
                <w:sz w:val="24"/>
                <w:szCs w:val="24"/>
              </w:rPr>
              <w:t>послуга з постачанн</w:t>
            </w:r>
            <w:bookmarkStart w:id="0" w:name="_GoBack"/>
            <w:bookmarkEnd w:id="0"/>
            <w:r w:rsidRPr="0041689A">
              <w:rPr>
                <w:rFonts w:ascii="Times New Roman" w:hAnsi="Times New Roman" w:cs="Times New Roman"/>
                <w:b/>
                <w:i/>
                <w:sz w:val="24"/>
                <w:szCs w:val="24"/>
              </w:rPr>
              <w:t>я теплової енергії).</w:t>
            </w:r>
          </w:p>
        </w:tc>
      </w:tr>
    </w:tbl>
    <w:p w14:paraId="48714E89" w14:textId="77777777" w:rsidR="00E35913" w:rsidRDefault="00E35913" w:rsidP="00D92B55">
      <w:pPr>
        <w:widowControl w:val="0"/>
        <w:spacing w:after="0" w:line="240" w:lineRule="auto"/>
        <w:jc w:val="both"/>
        <w:rPr>
          <w:rFonts w:ascii="Times New Roman" w:eastAsia="Times New Roman" w:hAnsi="Times New Roman" w:cs="Times New Roman"/>
          <w:sz w:val="24"/>
          <w:szCs w:val="24"/>
          <w:highlight w:val="white"/>
        </w:rPr>
      </w:pPr>
    </w:p>
    <w:sectPr w:rsidR="00E35913" w:rsidSect="00CC7C84">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422" w14:textId="77777777"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251">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A5C6"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20050F"/>
    <w:rsid w:val="00227F8B"/>
    <w:rsid w:val="002550B9"/>
    <w:rsid w:val="00262390"/>
    <w:rsid w:val="002A6CDE"/>
    <w:rsid w:val="002D3C2D"/>
    <w:rsid w:val="00305119"/>
    <w:rsid w:val="00343733"/>
    <w:rsid w:val="003C7555"/>
    <w:rsid w:val="003F14ED"/>
    <w:rsid w:val="0041689A"/>
    <w:rsid w:val="004B3A1C"/>
    <w:rsid w:val="0052578D"/>
    <w:rsid w:val="005718E8"/>
    <w:rsid w:val="005B6614"/>
    <w:rsid w:val="00826C26"/>
    <w:rsid w:val="008A0765"/>
    <w:rsid w:val="00975251"/>
    <w:rsid w:val="009E3D05"/>
    <w:rsid w:val="00A532AC"/>
    <w:rsid w:val="00A937FB"/>
    <w:rsid w:val="00B6527D"/>
    <w:rsid w:val="00BC73A1"/>
    <w:rsid w:val="00BE18E9"/>
    <w:rsid w:val="00C82931"/>
    <w:rsid w:val="00CC28DA"/>
    <w:rsid w:val="00CC7C84"/>
    <w:rsid w:val="00CD3134"/>
    <w:rsid w:val="00CE7F58"/>
    <w:rsid w:val="00D12EC0"/>
    <w:rsid w:val="00D92B55"/>
    <w:rsid w:val="00DA0259"/>
    <w:rsid w:val="00DB436D"/>
    <w:rsid w:val="00E35913"/>
    <w:rsid w:val="00EA305E"/>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81A60E-C3B0-4E8A-9085-2D38E935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6</cp:revision>
  <dcterms:created xsi:type="dcterms:W3CDTF">2023-10-23T07:44:00Z</dcterms:created>
  <dcterms:modified xsi:type="dcterms:W3CDTF">2023-10-24T08:44:00Z</dcterms:modified>
</cp:coreProperties>
</file>