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674B" w14:textId="77777777" w:rsidR="00EA7F3F" w:rsidRPr="00C236E5" w:rsidRDefault="00EA7F3F" w:rsidP="00EA7F3F">
      <w:pPr>
        <w:jc w:val="center"/>
        <w:rPr>
          <w:rFonts w:ascii="Times New Roman" w:hAnsi="Times New Roman" w:cs="Times New Roman"/>
          <w:b/>
          <w:bCs/>
          <w:color w:val="000000"/>
          <w:sz w:val="32"/>
          <w:lang w:eastAsia="ru-RU"/>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726058CC" w14:textId="77777777" w:rsidR="00EA7F3F" w:rsidRDefault="00EA7F3F" w:rsidP="00EA7F3F">
      <w:pPr>
        <w:spacing w:after="0"/>
        <w:jc w:val="center"/>
        <w:rPr>
          <w:rFonts w:ascii="Times New Roman" w:hAnsi="Times New Roman" w:cs="Times New Roman"/>
          <w:b/>
          <w:sz w:val="40"/>
          <w:szCs w:val="40"/>
        </w:rPr>
      </w:pPr>
    </w:p>
    <w:p w14:paraId="753B7EEB" w14:textId="77777777" w:rsidR="00EA7F3F" w:rsidRDefault="00EA7F3F" w:rsidP="00EA7F3F">
      <w:pPr>
        <w:spacing w:after="0"/>
        <w:ind w:left="6096"/>
        <w:jc w:val="both"/>
        <w:rPr>
          <w:rFonts w:ascii="Times New Roman" w:hAnsi="Times New Roman" w:cs="Times New Roman"/>
        </w:rPr>
      </w:pPr>
      <w:r>
        <w:rPr>
          <w:rFonts w:ascii="Times New Roman" w:hAnsi="Times New Roman" w:cs="Times New Roman"/>
          <w:b/>
        </w:rPr>
        <w:t>ЗАТВЕРДЖЕНО</w:t>
      </w:r>
    </w:p>
    <w:p w14:paraId="06810478" w14:textId="77777777" w:rsidR="00EA7F3F" w:rsidRDefault="00EA7F3F" w:rsidP="00EA7F3F">
      <w:pPr>
        <w:spacing w:after="0"/>
        <w:ind w:left="6096"/>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1E953641" w14:textId="28F12A58" w:rsidR="00EA7F3F" w:rsidRPr="006B54B1" w:rsidRDefault="00EA7F3F" w:rsidP="00EA7F3F">
      <w:pPr>
        <w:spacing w:after="0"/>
        <w:ind w:left="6096"/>
        <w:jc w:val="both"/>
        <w:rPr>
          <w:rFonts w:ascii="Times New Roman" w:hAnsi="Times New Roman" w:cs="Times New Roman"/>
          <w:color w:val="000000"/>
        </w:rPr>
      </w:pPr>
      <w:r>
        <w:rPr>
          <w:rFonts w:ascii="Times New Roman" w:hAnsi="Times New Roman" w:cs="Times New Roman"/>
        </w:rPr>
        <w:t xml:space="preserve">від </w:t>
      </w:r>
      <w:r w:rsidRPr="006B54B1">
        <w:rPr>
          <w:rFonts w:ascii="Times New Roman" w:hAnsi="Times New Roman" w:cs="Times New Roman"/>
          <w:color w:val="000000"/>
        </w:rPr>
        <w:t>«</w:t>
      </w:r>
      <w:r w:rsidR="00C247BB">
        <w:rPr>
          <w:rFonts w:ascii="Times New Roman" w:hAnsi="Times New Roman" w:cs="Times New Roman"/>
          <w:color w:val="000000"/>
        </w:rPr>
        <w:t>01</w:t>
      </w:r>
      <w:r w:rsidRPr="006B54B1">
        <w:rPr>
          <w:rFonts w:ascii="Times New Roman" w:hAnsi="Times New Roman" w:cs="Times New Roman"/>
          <w:color w:val="000000"/>
        </w:rPr>
        <w:t>»</w:t>
      </w:r>
      <w:r>
        <w:rPr>
          <w:rFonts w:ascii="Times New Roman" w:hAnsi="Times New Roman" w:cs="Times New Roman"/>
          <w:color w:val="000000"/>
        </w:rPr>
        <w:t xml:space="preserve"> </w:t>
      </w:r>
      <w:r w:rsidRPr="00C247BB">
        <w:rPr>
          <w:rFonts w:ascii="Times New Roman" w:hAnsi="Times New Roman" w:cs="Times New Roman"/>
          <w:color w:val="000000"/>
        </w:rPr>
        <w:t>лютого</w:t>
      </w:r>
      <w:r>
        <w:rPr>
          <w:rFonts w:ascii="Times New Roman" w:hAnsi="Times New Roman" w:cs="Times New Roman"/>
          <w:color w:val="000000"/>
        </w:rPr>
        <w:t xml:space="preserve"> 2024 року № </w:t>
      </w:r>
      <w:r w:rsidR="00A36025">
        <w:rPr>
          <w:rFonts w:ascii="Times New Roman" w:hAnsi="Times New Roman" w:cs="Times New Roman"/>
          <w:color w:val="000000"/>
        </w:rPr>
        <w:t>02/1</w:t>
      </w:r>
    </w:p>
    <w:p w14:paraId="5D4F1A1A" w14:textId="77777777" w:rsidR="00EA7F3F" w:rsidRDefault="00EA7F3F" w:rsidP="00EA7F3F">
      <w:pPr>
        <w:spacing w:after="0"/>
        <w:ind w:left="6096"/>
        <w:jc w:val="both"/>
        <w:rPr>
          <w:rFonts w:ascii="Times New Roman" w:hAnsi="Times New Roman" w:cs="Times New Roman"/>
          <w:b/>
        </w:rPr>
      </w:pPr>
      <w:bookmarkStart w:id="0" w:name="_Hlk130822146"/>
      <w:r w:rsidRPr="00C236E5">
        <w:rPr>
          <w:rFonts w:ascii="Times New Roman" w:hAnsi="Times New Roman" w:cs="Times New Roman"/>
        </w:rPr>
        <w:t>Юлія САБАДАШ</w:t>
      </w:r>
    </w:p>
    <w:bookmarkEnd w:id="0"/>
    <w:p w14:paraId="0944C485" w14:textId="77777777"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14:paraId="2E33D365" w14:textId="77777777"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14:paraId="6856DC41" w14:textId="77777777" w:rsidR="00EA7F3F" w:rsidRPr="00D34C15" w:rsidRDefault="00EA7F3F" w:rsidP="00EA7F3F">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674C85C6" w14:textId="77777777" w:rsidR="00EA7F3F" w:rsidRPr="00D34C15" w:rsidRDefault="00EA7F3F" w:rsidP="00EA7F3F">
      <w:pPr>
        <w:contextualSpacing/>
        <w:jc w:val="center"/>
        <w:rPr>
          <w:rFonts w:ascii="Times New Roman" w:hAnsi="Times New Roman" w:cs="Times New Roman"/>
          <w:sz w:val="32"/>
          <w:szCs w:val="32"/>
          <w:lang w:eastAsia="ru-RU"/>
        </w:rPr>
      </w:pPr>
    </w:p>
    <w:p w14:paraId="7DB4E6CD" w14:textId="77777777" w:rsidR="00EA7F3F" w:rsidRPr="00D34C15" w:rsidRDefault="00EA7F3F" w:rsidP="00EA7F3F">
      <w:pPr>
        <w:contextualSpacing/>
        <w:jc w:val="center"/>
        <w:rPr>
          <w:rFonts w:ascii="Times New Roman" w:hAnsi="Times New Roman" w:cs="Times New Roman"/>
          <w:sz w:val="32"/>
          <w:szCs w:val="32"/>
        </w:rPr>
      </w:pPr>
      <w:r w:rsidRPr="00D34C15">
        <w:rPr>
          <w:rFonts w:ascii="Times New Roman" w:hAnsi="Times New Roman" w:cs="Times New Roman"/>
          <w:color w:val="000000"/>
          <w:sz w:val="32"/>
          <w:szCs w:val="32"/>
        </w:rPr>
        <w:t>по процедурі</w:t>
      </w:r>
      <w:r w:rsidRPr="00D34C15">
        <w:rPr>
          <w:rFonts w:ascii="Times New Roman" w:hAnsi="Times New Roman" w:cs="Times New Roman"/>
          <w:b/>
          <w:bCs/>
          <w:color w:val="000000"/>
          <w:sz w:val="32"/>
          <w:szCs w:val="32"/>
        </w:rPr>
        <w:t xml:space="preserve"> ВІДКРИТІ ТОРГИ (з особливостями)</w:t>
      </w:r>
    </w:p>
    <w:p w14:paraId="20073991" w14:textId="77777777" w:rsidR="00EA7F3F" w:rsidRPr="00D34C15" w:rsidRDefault="00EA7F3F" w:rsidP="00EA7F3F">
      <w:pPr>
        <w:contextualSpacing/>
        <w:jc w:val="center"/>
        <w:rPr>
          <w:rFonts w:ascii="Times New Roman" w:hAnsi="Times New Roman" w:cs="Times New Roman"/>
          <w:b/>
          <w:bCs/>
          <w:sz w:val="32"/>
          <w:szCs w:val="32"/>
        </w:rPr>
      </w:pPr>
      <w:r w:rsidRPr="00D34C15">
        <w:rPr>
          <w:rFonts w:ascii="Times New Roman" w:hAnsi="Times New Roman" w:cs="Times New Roman"/>
          <w:color w:val="000000"/>
          <w:sz w:val="32"/>
          <w:szCs w:val="32"/>
        </w:rPr>
        <w:t>на закупівлю</w:t>
      </w:r>
      <w:r>
        <w:rPr>
          <w:rFonts w:ascii="Times New Roman" w:hAnsi="Times New Roman" w:cs="Times New Roman"/>
          <w:color w:val="000000"/>
          <w:sz w:val="32"/>
          <w:szCs w:val="32"/>
        </w:rPr>
        <w:t>:</w:t>
      </w:r>
      <w:r w:rsidRPr="00D34C15">
        <w:rPr>
          <w:rFonts w:ascii="Times New Roman" w:hAnsi="Times New Roman" w:cs="Times New Roman"/>
          <w:color w:val="000000"/>
          <w:sz w:val="32"/>
          <w:szCs w:val="32"/>
        </w:rPr>
        <w:t xml:space="preserve"> </w:t>
      </w:r>
    </w:p>
    <w:p w14:paraId="50382327" w14:textId="77777777" w:rsidR="00EA7F3F" w:rsidRPr="00D34C15" w:rsidRDefault="00EA7F3F" w:rsidP="00EA7F3F">
      <w:pPr>
        <w:jc w:val="center"/>
        <w:rPr>
          <w:rFonts w:ascii="Times New Roman" w:hAnsi="Times New Roman" w:cs="Times New Roman"/>
          <w:b/>
          <w:sz w:val="32"/>
          <w:szCs w:val="32"/>
        </w:rPr>
      </w:pPr>
    </w:p>
    <w:p w14:paraId="14A960D8" w14:textId="77777777" w:rsidR="00EA7F3F" w:rsidRPr="00D34C15" w:rsidRDefault="00EA7F3F" w:rsidP="00EA7F3F">
      <w:pPr>
        <w:jc w:val="center"/>
        <w:rPr>
          <w:rFonts w:ascii="Times New Roman" w:hAnsi="Times New Roman" w:cs="Times New Roman"/>
          <w:b/>
          <w:sz w:val="32"/>
          <w:szCs w:val="32"/>
        </w:rPr>
      </w:pPr>
    </w:p>
    <w:p w14:paraId="40F4F17F" w14:textId="77777777" w:rsidR="00EA7F3F" w:rsidRPr="00D34C15" w:rsidRDefault="00EA7F3F" w:rsidP="00EA7F3F">
      <w:pPr>
        <w:jc w:val="center"/>
        <w:rPr>
          <w:rFonts w:ascii="Times New Roman" w:hAnsi="Times New Roman" w:cs="Times New Roman"/>
          <w:b/>
          <w:sz w:val="32"/>
          <w:szCs w:val="32"/>
        </w:rPr>
      </w:pPr>
    </w:p>
    <w:p w14:paraId="0FE1635D" w14:textId="77777777" w:rsidR="00EA7F3F" w:rsidRPr="007E57D4" w:rsidRDefault="00EA7F3F" w:rsidP="00EA7F3F">
      <w:pPr>
        <w:tabs>
          <w:tab w:val="left" w:pos="2310"/>
          <w:tab w:val="center" w:pos="4819"/>
        </w:tabs>
        <w:contextualSpacing/>
        <w:jc w:val="center"/>
        <w:rPr>
          <w:rFonts w:ascii="Times New Roman" w:hAnsi="Times New Roman" w:cs="Times New Roman"/>
          <w:b/>
          <w:bCs/>
          <w:color w:val="000000"/>
          <w:sz w:val="32"/>
          <w:szCs w:val="32"/>
          <w:lang w:eastAsia="ru-RU"/>
        </w:rPr>
      </w:pPr>
      <w:r w:rsidRPr="00D34C15">
        <w:rPr>
          <w:rFonts w:ascii="Times New Roman" w:hAnsi="Times New Roman" w:cs="Times New Roman"/>
          <w:b/>
          <w:bCs/>
          <w:color w:val="000000"/>
          <w:sz w:val="32"/>
          <w:szCs w:val="32"/>
          <w:lang w:eastAsia="ru-RU"/>
        </w:rPr>
        <w:t xml:space="preserve">код за </w:t>
      </w:r>
      <w:r w:rsidRPr="007E57D4">
        <w:rPr>
          <w:rFonts w:ascii="Times New Roman" w:hAnsi="Times New Roman" w:cs="Times New Roman"/>
          <w:b/>
          <w:bCs/>
          <w:color w:val="000000"/>
          <w:sz w:val="32"/>
          <w:szCs w:val="32"/>
          <w:lang w:eastAsia="ru-RU"/>
        </w:rPr>
        <w:t>ДК 021:2015: 03220000-9 Овочі, фрукти та горіхи</w:t>
      </w:r>
    </w:p>
    <w:p w14:paraId="54ADB289" w14:textId="77777777" w:rsidR="00EA7F3F" w:rsidRDefault="00EA7F3F" w:rsidP="00EA7F3F">
      <w:pPr>
        <w:tabs>
          <w:tab w:val="left" w:pos="2310"/>
          <w:tab w:val="center" w:pos="4819"/>
        </w:tabs>
        <w:contextualSpacing/>
        <w:jc w:val="center"/>
        <w:rPr>
          <w:rFonts w:ascii="Times New Roman" w:hAnsi="Times New Roman" w:cs="Times New Roman"/>
          <w:b/>
          <w:sz w:val="28"/>
          <w:szCs w:val="28"/>
        </w:rPr>
      </w:pPr>
      <w:r w:rsidRPr="007E57D4">
        <w:rPr>
          <w:rFonts w:ascii="Times New Roman" w:hAnsi="Times New Roman" w:cs="Times New Roman"/>
          <w:b/>
          <w:bCs/>
          <w:color w:val="000000"/>
          <w:sz w:val="32"/>
          <w:szCs w:val="32"/>
          <w:lang w:eastAsia="ru-RU"/>
        </w:rPr>
        <w:t>(Капуста свіжа, капуста рання, огірки ранні, редис, банани, апельсини, мандарини, лимон, яблука)</w:t>
      </w:r>
    </w:p>
    <w:p w14:paraId="26A7241D" w14:textId="77777777" w:rsidR="00EA7F3F" w:rsidRDefault="00EA7F3F" w:rsidP="00EA7F3F">
      <w:pPr>
        <w:jc w:val="center"/>
        <w:rPr>
          <w:rFonts w:ascii="Times New Roman" w:hAnsi="Times New Roman" w:cs="Times New Roman"/>
          <w:b/>
          <w:sz w:val="28"/>
          <w:szCs w:val="28"/>
        </w:rPr>
      </w:pPr>
    </w:p>
    <w:p w14:paraId="4076D421"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29B4BE86"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15FDDE9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475029E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69638855"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2A721ECA"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7713F329"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53646C8C" w14:textId="77777777"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14:paraId="4EA50C0D" w14:textId="77777777" w:rsidR="0048318C" w:rsidRPr="00A103E5" w:rsidRDefault="0048318C" w:rsidP="00EA7F3F">
      <w:pPr>
        <w:spacing w:before="240" w:after="0" w:line="240" w:lineRule="auto"/>
        <w:rPr>
          <w:rFonts w:ascii="Times New Roman" w:eastAsia="Times New Roman" w:hAnsi="Times New Roman" w:cs="Times New Roman"/>
          <w:color w:val="000000"/>
          <w:sz w:val="24"/>
          <w:szCs w:val="24"/>
          <w:lang w:val="uk-UA" w:eastAsia="ru-RU"/>
        </w:rPr>
      </w:pPr>
    </w:p>
    <w:p w14:paraId="5BBACCF5" w14:textId="12B9ABA1" w:rsidR="00ED6237" w:rsidRPr="00A103E5" w:rsidRDefault="00EA7F3F" w:rsidP="0048318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0048318C"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Виноградівка</w:t>
      </w:r>
      <w:r w:rsidR="0048318C" w:rsidRPr="00A103E5">
        <w:rPr>
          <w:rFonts w:ascii="Times New Roman" w:eastAsia="Times New Roman" w:hAnsi="Times New Roman" w:cs="Times New Roman"/>
          <w:color w:val="000000"/>
          <w:sz w:val="24"/>
          <w:szCs w:val="24"/>
          <w:lang w:val="uk-UA" w:eastAsia="ru-RU"/>
        </w:rPr>
        <w:t xml:space="preserve"> – 202</w:t>
      </w:r>
      <w:r w:rsidR="00A2759C">
        <w:rPr>
          <w:rFonts w:ascii="Times New Roman" w:eastAsia="Times New Roman" w:hAnsi="Times New Roman" w:cs="Times New Roman"/>
          <w:color w:val="000000"/>
          <w:sz w:val="24"/>
          <w:szCs w:val="24"/>
          <w:lang w:val="uk-UA" w:eastAsia="ru-RU"/>
        </w:rPr>
        <w:t>4</w:t>
      </w:r>
      <w:r w:rsidR="0048318C"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14:paraId="1455E7DC" w14:textId="77777777" w:rsidTr="00ED3D13">
        <w:trPr>
          <w:trHeight w:val="416"/>
          <w:jc w:val="center"/>
        </w:trPr>
        <w:tc>
          <w:tcPr>
            <w:tcW w:w="704" w:type="dxa"/>
            <w:vAlign w:val="center"/>
          </w:tcPr>
          <w:p w14:paraId="2855AA86"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14:paraId="797B9026" w14:textId="77777777"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14:paraId="43EDC4F5" w14:textId="77777777" w:rsidTr="00ED3D13">
        <w:trPr>
          <w:trHeight w:val="411"/>
          <w:jc w:val="center"/>
        </w:trPr>
        <w:tc>
          <w:tcPr>
            <w:tcW w:w="704" w:type="dxa"/>
            <w:vAlign w:val="center"/>
          </w:tcPr>
          <w:p w14:paraId="3EACA5A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14:paraId="005CFE5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14:paraId="0A9652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14:paraId="1977FF5C" w14:textId="77777777" w:rsidTr="00ED3D13">
        <w:trPr>
          <w:trHeight w:val="1119"/>
          <w:jc w:val="center"/>
        </w:trPr>
        <w:tc>
          <w:tcPr>
            <w:tcW w:w="704" w:type="dxa"/>
          </w:tcPr>
          <w:p w14:paraId="13A9CFA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748EF58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14:paraId="2B6D4189"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14:paraId="368459C0" w14:textId="77777777" w:rsidTr="00ED3D13">
        <w:trPr>
          <w:trHeight w:val="1119"/>
          <w:jc w:val="center"/>
        </w:trPr>
        <w:tc>
          <w:tcPr>
            <w:tcW w:w="704" w:type="dxa"/>
          </w:tcPr>
          <w:p w14:paraId="2B8C3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3D28C44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14:paraId="5FFE36A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A7F3F" w:rsidRPr="006F1B7B" w14:paraId="0D327E84" w14:textId="77777777" w:rsidTr="00ED3D13">
        <w:trPr>
          <w:trHeight w:val="1119"/>
          <w:jc w:val="center"/>
        </w:trPr>
        <w:tc>
          <w:tcPr>
            <w:tcW w:w="704" w:type="dxa"/>
          </w:tcPr>
          <w:p w14:paraId="0E73D87F"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14:paraId="0D452707" w14:textId="77777777" w:rsidR="00EA7F3F" w:rsidRPr="00A103E5" w:rsidRDefault="00EA7F3F" w:rsidP="00EA7F3F">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14:paraId="30F6F56F" w14:textId="2D52041C" w:rsidR="00EA7F3F" w:rsidRPr="00EA7F3F" w:rsidRDefault="00EA7F3F" w:rsidP="00EA7F3F">
            <w:pPr>
              <w:spacing w:after="0"/>
              <w:jc w:val="both"/>
              <w:rPr>
                <w:rFonts w:ascii="Times New Roman" w:hAnsi="Times New Roman" w:cs="Times New Roman"/>
                <w:i/>
                <w:iCs/>
                <w:sz w:val="24"/>
                <w:szCs w:val="24"/>
                <w:lang w:val="uk-UA"/>
              </w:rPr>
            </w:pPr>
            <w:r w:rsidRPr="00EA7F3F">
              <w:rPr>
                <w:rFonts w:ascii="Times New Roman" w:hAnsi="Times New Roman" w:cs="Times New Roman"/>
                <w:b/>
                <w:color w:val="000000"/>
                <w:sz w:val="24"/>
                <w:szCs w:val="24"/>
              </w:rPr>
              <w:t>ВИНОГРАДІВСЬКИЙ ПСИХОНЕВРОЛОГІЧНИЙ ІНТЕРНАТ</w:t>
            </w:r>
          </w:p>
        </w:tc>
      </w:tr>
      <w:tr w:rsidR="00EA7F3F" w:rsidRPr="00A103E5" w14:paraId="587788C7" w14:textId="77777777" w:rsidTr="00ED3D13">
        <w:trPr>
          <w:trHeight w:val="1119"/>
          <w:jc w:val="center"/>
        </w:trPr>
        <w:tc>
          <w:tcPr>
            <w:tcW w:w="704" w:type="dxa"/>
          </w:tcPr>
          <w:p w14:paraId="652C439A"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14:paraId="6E2A46E1" w14:textId="77777777" w:rsidR="00EA7F3F" w:rsidRPr="00A103E5" w:rsidRDefault="00EA7F3F" w:rsidP="00EA7F3F">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14:paraId="66EE2111" w14:textId="142C5E1D" w:rsidR="00EA7F3F" w:rsidRPr="00EA7F3F" w:rsidRDefault="00EA7F3F" w:rsidP="00EA7F3F">
            <w:pPr>
              <w:spacing w:after="0" w:line="240" w:lineRule="auto"/>
              <w:jc w:val="both"/>
              <w:rPr>
                <w:rFonts w:ascii="Times New Roman" w:hAnsi="Times New Roman" w:cs="Times New Roman"/>
                <w:bCs/>
                <w:sz w:val="24"/>
                <w:szCs w:val="24"/>
                <w:lang w:val="uk-UA"/>
              </w:rPr>
            </w:pPr>
            <w:r w:rsidRPr="00EA7F3F">
              <w:rPr>
                <w:rFonts w:ascii="Times New Roman" w:hAnsi="Times New Roman" w:cs="Times New Roman"/>
                <w:color w:val="000000"/>
                <w:sz w:val="24"/>
                <w:szCs w:val="24"/>
              </w:rPr>
              <w:t>32123, вул. Центральна, 15А, с. Виноградівка, Хмельницький район, Хмельницької області</w:t>
            </w:r>
          </w:p>
        </w:tc>
      </w:tr>
      <w:tr w:rsidR="00EA7F3F" w:rsidRPr="00A103E5" w14:paraId="6A13218C" w14:textId="77777777" w:rsidTr="00ED3D13">
        <w:trPr>
          <w:trHeight w:val="1119"/>
          <w:jc w:val="center"/>
        </w:trPr>
        <w:tc>
          <w:tcPr>
            <w:tcW w:w="704" w:type="dxa"/>
          </w:tcPr>
          <w:p w14:paraId="7CC720F1"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14:paraId="7E47B7E8" w14:textId="77777777" w:rsidR="00EA7F3F" w:rsidRPr="00A103E5" w:rsidRDefault="00EA7F3F" w:rsidP="00EA7F3F">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3281ABEB" w14:textId="77777777" w:rsidR="00EA7F3F" w:rsidRPr="00EA7F3F" w:rsidRDefault="00EA7F3F" w:rsidP="00EA7F3F">
            <w:pPr>
              <w:spacing w:after="0"/>
              <w:ind w:left="100" w:right="40"/>
              <w:jc w:val="both"/>
              <w:rPr>
                <w:rFonts w:ascii="Times New Roman" w:hAnsi="Times New Roman" w:cs="Times New Roman"/>
                <w:color w:val="000000"/>
                <w:sz w:val="24"/>
                <w:szCs w:val="24"/>
                <w:lang w:val="uk-UA"/>
              </w:rPr>
            </w:pPr>
            <w:r w:rsidRPr="00EA7F3F">
              <w:rPr>
                <w:rFonts w:ascii="Times New Roman" w:hAnsi="Times New Roman" w:cs="Times New Roman"/>
                <w:color w:val="000000"/>
                <w:sz w:val="24"/>
                <w:szCs w:val="24"/>
                <w:lang w:val="uk-UA"/>
              </w:rPr>
              <w:t>Сабадаш Юлія Олександрівна</w:t>
            </w:r>
          </w:p>
          <w:p w14:paraId="33AD21D3" w14:textId="77777777" w:rsidR="00EA7F3F" w:rsidRPr="00EA7F3F" w:rsidRDefault="00EA7F3F" w:rsidP="00EA7F3F">
            <w:pPr>
              <w:spacing w:after="0"/>
              <w:ind w:left="100" w:right="40"/>
              <w:jc w:val="both"/>
              <w:rPr>
                <w:rFonts w:ascii="Times New Roman" w:hAnsi="Times New Roman" w:cs="Times New Roman"/>
                <w:color w:val="000000"/>
                <w:sz w:val="24"/>
                <w:szCs w:val="24"/>
                <w:lang w:val="uk-UA"/>
              </w:rPr>
            </w:pPr>
            <w:r w:rsidRPr="00EA7F3F">
              <w:rPr>
                <w:rFonts w:ascii="Times New Roman" w:hAnsi="Times New Roman" w:cs="Times New Roman"/>
                <w:color w:val="000000"/>
                <w:sz w:val="24"/>
                <w:szCs w:val="24"/>
                <w:lang w:val="uk-UA"/>
              </w:rPr>
              <w:t>Фахівець з публічних закупівель, бухгалтер</w:t>
            </w:r>
          </w:p>
          <w:p w14:paraId="13F7721F" w14:textId="77777777" w:rsidR="00EA7F3F" w:rsidRPr="00EA7F3F" w:rsidRDefault="00EA7F3F" w:rsidP="00EA7F3F">
            <w:pPr>
              <w:spacing w:after="0"/>
              <w:ind w:left="100" w:right="40"/>
              <w:jc w:val="both"/>
              <w:rPr>
                <w:rFonts w:ascii="Times New Roman" w:hAnsi="Times New Roman" w:cs="Times New Roman"/>
                <w:color w:val="000000"/>
                <w:sz w:val="24"/>
                <w:szCs w:val="24"/>
              </w:rPr>
            </w:pPr>
            <w:r w:rsidRPr="00EA7F3F">
              <w:rPr>
                <w:rFonts w:ascii="Times New Roman" w:hAnsi="Times New Roman" w:cs="Times New Roman"/>
                <w:color w:val="000000"/>
                <w:sz w:val="24"/>
                <w:szCs w:val="24"/>
              </w:rPr>
              <w:t xml:space="preserve">(уповноважена особа) </w:t>
            </w:r>
          </w:p>
          <w:p w14:paraId="16E1DA45" w14:textId="77777777" w:rsidR="00EA7F3F" w:rsidRPr="00EA7F3F" w:rsidRDefault="00EA7F3F" w:rsidP="00EA7F3F">
            <w:pPr>
              <w:spacing w:after="0"/>
              <w:ind w:left="100" w:right="40"/>
              <w:jc w:val="both"/>
              <w:rPr>
                <w:rFonts w:ascii="Times New Roman" w:hAnsi="Times New Roman" w:cs="Times New Roman"/>
                <w:color w:val="000000"/>
                <w:sz w:val="24"/>
                <w:szCs w:val="24"/>
              </w:rPr>
            </w:pPr>
            <w:r w:rsidRPr="00EA7F3F">
              <w:rPr>
                <w:rFonts w:ascii="Times New Roman" w:hAnsi="Times New Roman" w:cs="Times New Roman"/>
                <w:color w:val="000000"/>
                <w:sz w:val="24"/>
                <w:szCs w:val="24"/>
              </w:rPr>
              <w:t xml:space="preserve">телефон 0682679600 </w:t>
            </w:r>
          </w:p>
          <w:p w14:paraId="336FFB94" w14:textId="717F35B9" w:rsidR="00EA7F3F" w:rsidRPr="00EA7F3F" w:rsidRDefault="00EA7F3F" w:rsidP="00EA7F3F">
            <w:pPr>
              <w:spacing w:after="0"/>
              <w:rPr>
                <w:rFonts w:ascii="Times New Roman" w:hAnsi="Times New Roman" w:cs="Times New Roman"/>
                <w:sz w:val="24"/>
                <w:szCs w:val="24"/>
              </w:rPr>
            </w:pPr>
            <w:r w:rsidRPr="00EA7F3F">
              <w:rPr>
                <w:rFonts w:ascii="Times New Roman" w:hAnsi="Times New Roman" w:cs="Times New Roman"/>
                <w:color w:val="000000"/>
                <w:sz w:val="24"/>
                <w:szCs w:val="24"/>
              </w:rPr>
              <w:t>еmail –  yarmvpni@gmail.com</w:t>
            </w:r>
          </w:p>
        </w:tc>
      </w:tr>
      <w:tr w:rsidR="0048318C" w:rsidRPr="00A103E5" w14:paraId="574FD98D" w14:textId="77777777" w:rsidTr="00ED3D13">
        <w:trPr>
          <w:trHeight w:val="1119"/>
          <w:jc w:val="center"/>
        </w:trPr>
        <w:tc>
          <w:tcPr>
            <w:tcW w:w="704" w:type="dxa"/>
          </w:tcPr>
          <w:p w14:paraId="7AFAEE5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14:paraId="0795A04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14:paraId="12335BA7"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14:paraId="5D1DA6CA" w14:textId="77777777" w:rsidTr="00ED3D13">
        <w:trPr>
          <w:trHeight w:val="1119"/>
          <w:jc w:val="center"/>
        </w:trPr>
        <w:tc>
          <w:tcPr>
            <w:tcW w:w="704" w:type="dxa"/>
          </w:tcPr>
          <w:p w14:paraId="2D59E5C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14:paraId="6CD161F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14:paraId="37A8ADBB"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646BB0" w14:paraId="4D44CEA9" w14:textId="77777777" w:rsidTr="00ED3D13">
        <w:trPr>
          <w:trHeight w:val="1119"/>
          <w:jc w:val="center"/>
        </w:trPr>
        <w:tc>
          <w:tcPr>
            <w:tcW w:w="704" w:type="dxa"/>
          </w:tcPr>
          <w:p w14:paraId="559474A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14:paraId="3B4B889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14:paraId="28EF5317" w14:textId="77777777" w:rsidR="00EA7F3F" w:rsidRPr="007E57D4" w:rsidRDefault="00EA7F3F" w:rsidP="00EA7F3F">
            <w:pPr>
              <w:rPr>
                <w:rFonts w:ascii="Times New Roman" w:hAnsi="Times New Roman" w:cs="Times New Roman"/>
                <w:b/>
                <w:color w:val="000000"/>
              </w:rPr>
            </w:pPr>
            <w:r w:rsidRPr="007E57D4">
              <w:rPr>
                <w:rFonts w:ascii="Times New Roman" w:hAnsi="Times New Roman" w:cs="Times New Roman"/>
                <w:b/>
                <w:color w:val="000000"/>
              </w:rPr>
              <w:t>код ДК 021:2015: 03220000-9 Овочі, фрукти та горіхи</w:t>
            </w:r>
          </w:p>
          <w:p w14:paraId="6246B2C3" w14:textId="0053590C" w:rsidR="0048318C" w:rsidRPr="00F80847" w:rsidRDefault="00EA7F3F" w:rsidP="00EA7F3F">
            <w:pPr>
              <w:jc w:val="center"/>
              <w:rPr>
                <w:rFonts w:ascii="Times New Roman" w:hAnsi="Times New Roman" w:cs="Times New Roman"/>
                <w:i/>
                <w:iCs/>
                <w:sz w:val="24"/>
                <w:szCs w:val="24"/>
                <w:lang w:val="uk-UA"/>
              </w:rPr>
            </w:pPr>
            <w:r w:rsidRPr="007E57D4">
              <w:rPr>
                <w:rFonts w:ascii="Times New Roman" w:hAnsi="Times New Roman" w:cs="Times New Roman"/>
                <w:b/>
                <w:color w:val="000000"/>
              </w:rPr>
              <w:t>(Капуста свіжа, капуста рання, огірки ранні, редис, банани, апельсини, мандарини, лимон, яблука)</w:t>
            </w:r>
          </w:p>
        </w:tc>
      </w:tr>
      <w:tr w:rsidR="0048318C" w:rsidRPr="00A103E5" w14:paraId="2CB123A3" w14:textId="77777777" w:rsidTr="00ED3D13">
        <w:trPr>
          <w:trHeight w:val="1119"/>
          <w:jc w:val="center"/>
        </w:trPr>
        <w:tc>
          <w:tcPr>
            <w:tcW w:w="704" w:type="dxa"/>
          </w:tcPr>
          <w:p w14:paraId="63B911D8"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14:paraId="4DEE6D40" w14:textId="77777777"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14:paraId="4EE20BA9"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0E64350" w14:textId="77777777"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14:paraId="0F1F0615" w14:textId="77777777" w:rsidTr="00ED3D13">
        <w:trPr>
          <w:trHeight w:val="1119"/>
          <w:jc w:val="center"/>
        </w:trPr>
        <w:tc>
          <w:tcPr>
            <w:tcW w:w="704" w:type="dxa"/>
          </w:tcPr>
          <w:p w14:paraId="22B0FA4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14:paraId="7A7F7739" w14:textId="77777777"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070DAD56" w14:textId="77777777"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14:paraId="5B3C9F93" w14:textId="77777777" w:rsidR="00EA7F3F" w:rsidRPr="00EA7F3F" w:rsidRDefault="00EA7F3F" w:rsidP="00EA7F3F">
            <w:pPr>
              <w:pBdr>
                <w:top w:val="nil"/>
                <w:left w:val="nil"/>
                <w:bottom w:val="nil"/>
                <w:right w:val="nil"/>
                <w:between w:val="nil"/>
              </w:pBdr>
              <w:jc w:val="both"/>
              <w:rPr>
                <w:rFonts w:ascii="Times New Roman" w:hAnsi="Times New Roman" w:cs="Times New Roman"/>
                <w:b/>
                <w:color w:val="000000"/>
                <w:sz w:val="24"/>
                <w:szCs w:val="24"/>
                <w:highlight w:val="yellow"/>
              </w:rPr>
            </w:pPr>
            <w:r w:rsidRPr="00EA7F3F">
              <w:rPr>
                <w:rFonts w:ascii="Times New Roman" w:hAnsi="Times New Roman" w:cs="Times New Roman"/>
                <w:i/>
                <w:iCs/>
                <w:sz w:val="24"/>
                <w:szCs w:val="24"/>
              </w:rPr>
              <w:t>Місце поставки</w:t>
            </w:r>
            <w:r w:rsidRPr="00EA7F3F">
              <w:rPr>
                <w:rFonts w:ascii="Times New Roman" w:hAnsi="Times New Roman" w:cs="Times New Roman"/>
                <w:sz w:val="24"/>
                <w:szCs w:val="24"/>
              </w:rPr>
              <w:t xml:space="preserve">: </w:t>
            </w:r>
            <w:r w:rsidRPr="00EA7F3F">
              <w:rPr>
                <w:rFonts w:ascii="Times New Roman" w:hAnsi="Times New Roman" w:cs="Times New Roman"/>
                <w:b/>
                <w:color w:val="000000"/>
                <w:sz w:val="24"/>
                <w:szCs w:val="24"/>
              </w:rPr>
              <w:t>32123, вул. Центральна, 15 А, с. Виноградівка, Хмельницький район, Хмельницької області</w:t>
            </w:r>
          </w:p>
          <w:p w14:paraId="3FC2B566" w14:textId="77777777" w:rsidR="00EA7F3F" w:rsidRPr="00EA7F3F" w:rsidRDefault="00EA7F3F" w:rsidP="00EA7F3F">
            <w:pPr>
              <w:pBdr>
                <w:top w:val="nil"/>
                <w:left w:val="nil"/>
                <w:bottom w:val="nil"/>
                <w:right w:val="nil"/>
                <w:between w:val="nil"/>
              </w:pBdr>
              <w:jc w:val="both"/>
              <w:rPr>
                <w:rFonts w:ascii="Times New Roman" w:hAnsi="Times New Roman" w:cs="Times New Roman"/>
                <w:b/>
                <w:color w:val="000000"/>
                <w:sz w:val="24"/>
                <w:szCs w:val="24"/>
                <w:highlight w:val="yellow"/>
              </w:rPr>
            </w:pPr>
          </w:p>
          <w:p w14:paraId="736F47B6" w14:textId="2BB5F295" w:rsidR="0048318C" w:rsidRPr="00A103E5" w:rsidRDefault="00EA7F3F" w:rsidP="00EA7F3F">
            <w:pPr>
              <w:keepNext/>
              <w:keepLines/>
              <w:ind w:right="120"/>
              <w:contextualSpacing/>
              <w:jc w:val="both"/>
              <w:rPr>
                <w:rFonts w:ascii="Times New Roman" w:hAnsi="Times New Roman" w:cs="Times New Roman"/>
                <w:sz w:val="24"/>
                <w:szCs w:val="24"/>
                <w:lang w:val="uk-UA"/>
              </w:rPr>
            </w:pPr>
            <w:r w:rsidRPr="00EA7F3F">
              <w:rPr>
                <w:rFonts w:ascii="Times New Roman" w:hAnsi="Times New Roman" w:cs="Times New Roman"/>
                <w:i/>
                <w:sz w:val="24"/>
                <w:szCs w:val="24"/>
              </w:rPr>
              <w:t>Кількість:  </w:t>
            </w:r>
            <w:r w:rsidRPr="00EA7F3F">
              <w:rPr>
                <w:rFonts w:ascii="Times New Roman" w:hAnsi="Times New Roman" w:cs="Times New Roman"/>
                <w:iCs/>
                <w:sz w:val="24"/>
                <w:szCs w:val="24"/>
              </w:rPr>
              <w:t>Капуста свіжа – 3000 кг, капуста рання – 1000 кг, огірки ранні - 100 кг, редис – 100 кг, банани – 1000 кг, апельсини – 300 кг, мандарини – 600 кг, лимон – 400 кг, яблука – 1000 кг.</w:t>
            </w:r>
          </w:p>
        </w:tc>
      </w:tr>
      <w:tr w:rsidR="0048318C" w:rsidRPr="00A103E5" w14:paraId="1CF78F80" w14:textId="77777777" w:rsidTr="00ED3D13">
        <w:trPr>
          <w:trHeight w:val="1119"/>
          <w:jc w:val="center"/>
        </w:trPr>
        <w:tc>
          <w:tcPr>
            <w:tcW w:w="704" w:type="dxa"/>
          </w:tcPr>
          <w:p w14:paraId="34391BF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14:paraId="0DF18488"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14:paraId="05760DAE" w14:textId="77777777"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14:paraId="1F54E03F" w14:textId="77777777" w:rsidTr="00ED3D13">
        <w:trPr>
          <w:trHeight w:val="841"/>
          <w:jc w:val="center"/>
        </w:trPr>
        <w:tc>
          <w:tcPr>
            <w:tcW w:w="704" w:type="dxa"/>
          </w:tcPr>
          <w:p w14:paraId="6048D95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14:paraId="65C604F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14:paraId="78BA54D1" w14:textId="77777777"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14:paraId="48C899DC" w14:textId="77777777" w:rsidTr="00ED3D13">
        <w:trPr>
          <w:trHeight w:val="1119"/>
          <w:jc w:val="center"/>
        </w:trPr>
        <w:tc>
          <w:tcPr>
            <w:tcW w:w="704" w:type="dxa"/>
          </w:tcPr>
          <w:p w14:paraId="162B905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14:paraId="204DA0C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14:paraId="5D1D5166" w14:textId="77777777"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14:paraId="55707CF6" w14:textId="77777777" w:rsidTr="00ED3D13">
        <w:trPr>
          <w:trHeight w:val="1119"/>
          <w:jc w:val="center"/>
        </w:trPr>
        <w:tc>
          <w:tcPr>
            <w:tcW w:w="704" w:type="dxa"/>
          </w:tcPr>
          <w:p w14:paraId="52C364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14:paraId="2CF99C22"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14:paraId="7EE79E0A"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6A6CFB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87C1A91"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w:t>
            </w:r>
            <w:r w:rsidRPr="00A103E5">
              <w:rPr>
                <w:rFonts w:ascii="Times New Roman" w:eastAsia="Times New Roman" w:hAnsi="Times New Roman" w:cs="Times New Roman"/>
                <w:color w:val="000000"/>
                <w:sz w:val="24"/>
                <w:szCs w:val="24"/>
                <w:lang w:val="uk-UA" w:eastAsia="ru-RU"/>
              </w:rPr>
              <w:lastRenderedPageBreak/>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14:paraId="6C13FA26"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14:paraId="0647AA99" w14:textId="77777777" w:rsidTr="00ED3D13">
        <w:trPr>
          <w:trHeight w:val="501"/>
          <w:jc w:val="center"/>
        </w:trPr>
        <w:tc>
          <w:tcPr>
            <w:tcW w:w="10512" w:type="dxa"/>
            <w:gridSpan w:val="3"/>
            <w:vAlign w:val="center"/>
          </w:tcPr>
          <w:p w14:paraId="5776DEA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A36025" w14:paraId="031B2F81" w14:textId="77777777" w:rsidTr="00ED3D13">
        <w:trPr>
          <w:trHeight w:val="1125"/>
          <w:jc w:val="center"/>
        </w:trPr>
        <w:tc>
          <w:tcPr>
            <w:tcW w:w="704" w:type="dxa"/>
          </w:tcPr>
          <w:p w14:paraId="0668567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14:paraId="6BCA1DD8"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14:paraId="43E7E905"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14:paraId="32E340E8"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3DC0D3" w14:textId="77777777"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14:paraId="6D316950" w14:textId="77777777" w:rsidTr="00ED3D13">
        <w:trPr>
          <w:trHeight w:val="1119"/>
          <w:jc w:val="center"/>
        </w:trPr>
        <w:tc>
          <w:tcPr>
            <w:tcW w:w="704" w:type="dxa"/>
          </w:tcPr>
          <w:p w14:paraId="44FA1AF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49E94AE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14:paraId="15EC44BC" w14:textId="77777777"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64132A">
              <w:rPr>
                <w:rFonts w:ascii="Times New Roman" w:hAnsi="Times New Roman" w:cs="Times New Roman"/>
                <w:sz w:val="24"/>
                <w:szCs w:val="24"/>
                <w:lang w:val="uk-UA"/>
              </w:rPr>
              <w:lastRenderedPageBreak/>
              <w:t>зал</w:t>
            </w:r>
            <w:r>
              <w:rPr>
                <w:rFonts w:ascii="Times New Roman" w:hAnsi="Times New Roman" w:cs="Times New Roman"/>
                <w:sz w:val="24"/>
                <w:szCs w:val="24"/>
                <w:lang w:val="uk-UA"/>
              </w:rPr>
              <w:t>ишалося не менше чотирьох днів.</w:t>
            </w:r>
          </w:p>
          <w:p w14:paraId="2415A396" w14:textId="77777777"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14:paraId="3223E941" w14:textId="77777777" w:rsidTr="00ED3D13">
        <w:trPr>
          <w:trHeight w:val="480"/>
          <w:jc w:val="center"/>
        </w:trPr>
        <w:tc>
          <w:tcPr>
            <w:tcW w:w="10512" w:type="dxa"/>
            <w:gridSpan w:val="3"/>
            <w:vAlign w:val="center"/>
          </w:tcPr>
          <w:p w14:paraId="1BA2084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14:paraId="36866FF9" w14:textId="77777777" w:rsidTr="00ED3D13">
        <w:trPr>
          <w:trHeight w:val="1119"/>
          <w:jc w:val="center"/>
        </w:trPr>
        <w:tc>
          <w:tcPr>
            <w:tcW w:w="704" w:type="dxa"/>
          </w:tcPr>
          <w:p w14:paraId="26B8203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14:paraId="00B85093"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14:paraId="39F7B72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14:paraId="6F3AED6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14:paraId="42B336C1"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14:paraId="704860F4"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14:paraId="23BC5E7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14:paraId="0C819FFB"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14:paraId="63E306FF"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79041E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14:paraId="143DDA0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14:paraId="23E2B3A3"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B122D4F"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611947" w14:textId="77777777"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369A6" w14:textId="77777777"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6C8C943" w14:textId="77777777"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0FDE05E1" w14:textId="77777777"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14:paraId="53944A00"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w:t>
            </w:r>
            <w:r w:rsidRPr="006E479A">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14:paraId="7AE7C3DA"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14:paraId="28518AF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B4C060F"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14:paraId="0E91445F" w14:textId="77777777"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14:paraId="75F89898" w14:textId="77777777" w:rsidR="0048318C" w:rsidRPr="00A103E5" w:rsidRDefault="0048318C" w:rsidP="00ED3D13">
            <w:pPr>
              <w:pStyle w:val="a6"/>
              <w:spacing w:before="0" w:beforeAutospacing="0" w:after="0" w:afterAutospacing="0"/>
              <w:jc w:val="both"/>
            </w:pPr>
            <w:r w:rsidRPr="00A103E5">
              <w:t>уживання великої літери;</w:t>
            </w:r>
          </w:p>
          <w:p w14:paraId="5D03063D" w14:textId="77777777"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14:paraId="58133849" w14:textId="77777777"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14:paraId="74633876" w14:textId="77777777"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9EEF2" w14:textId="77777777"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14:paraId="69D078ED" w14:textId="77777777"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14:paraId="7DBC1315" w14:textId="77777777"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34F78D" w14:textId="77777777"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09BDDB" w14:textId="77777777"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C54809" w14:textId="77777777"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695411" w14:textId="77777777" w:rsidR="0048318C" w:rsidRPr="00A103E5" w:rsidRDefault="0048318C" w:rsidP="00ED3D13">
            <w:pPr>
              <w:pStyle w:val="a6"/>
              <w:spacing w:before="0" w:beforeAutospacing="0" w:after="0" w:afterAutospacing="0"/>
              <w:jc w:val="both"/>
            </w:pPr>
            <w:r w:rsidRPr="00A103E5">
              <w:t xml:space="preserve">5. У складі тендерної пропозиції немає документа (документів), </w:t>
            </w:r>
            <w:r w:rsidRPr="00A103E5">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CADEFF" w14:textId="77777777"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D9E023" w14:textId="77777777"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787029" w14:textId="77777777"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73BFBE" w14:textId="77777777"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8FB69C" w14:textId="77777777"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D6FAB" w14:textId="77777777"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91A34D"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3292F2"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14:paraId="643C1CD0"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2A3BAA"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14:paraId="7C3FDC5E"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14:paraId="38F60CD7" w14:textId="77777777"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52577656"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103E5">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63A01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901DDA4"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14:paraId="27A0880A" w14:textId="77777777"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14:paraId="548FB6F9"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14:paraId="286B46C3"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14:paraId="388DC378" w14:textId="77777777" w:rsidTr="00ED3D13">
        <w:trPr>
          <w:trHeight w:val="1119"/>
          <w:jc w:val="center"/>
        </w:trPr>
        <w:tc>
          <w:tcPr>
            <w:tcW w:w="704" w:type="dxa"/>
          </w:tcPr>
          <w:p w14:paraId="5E8261B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4AEBCDDF" w14:textId="77777777"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14:paraId="5345D1C8"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14:paraId="4AC654F0" w14:textId="77777777" w:rsidTr="00ED3D13">
        <w:trPr>
          <w:trHeight w:val="1119"/>
          <w:jc w:val="center"/>
        </w:trPr>
        <w:tc>
          <w:tcPr>
            <w:tcW w:w="704" w:type="dxa"/>
          </w:tcPr>
          <w:p w14:paraId="319095F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14:paraId="12D596C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14:paraId="2706CBD4" w14:textId="77777777"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A36025" w14:paraId="1825EE95" w14:textId="77777777" w:rsidTr="00ED3D13">
        <w:trPr>
          <w:trHeight w:val="560"/>
          <w:jc w:val="center"/>
        </w:trPr>
        <w:tc>
          <w:tcPr>
            <w:tcW w:w="704" w:type="dxa"/>
          </w:tcPr>
          <w:p w14:paraId="35B55B9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14:paraId="0988B3D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14:paraId="5C67E0B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A36025" w14:paraId="6F0B967F" w14:textId="77777777" w:rsidTr="00ED3D13">
        <w:trPr>
          <w:trHeight w:val="1119"/>
          <w:jc w:val="center"/>
        </w:trPr>
        <w:tc>
          <w:tcPr>
            <w:tcW w:w="704" w:type="dxa"/>
          </w:tcPr>
          <w:p w14:paraId="023E92E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14:paraId="3595D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14:paraId="4F631386"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26F0D838"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14:paraId="00A39C56"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751F0">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14:paraId="1FB1475E"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14:paraId="1C2290CC" w14:textId="77777777" w:rsidTr="00ED3D13">
        <w:trPr>
          <w:trHeight w:val="1119"/>
          <w:jc w:val="center"/>
        </w:trPr>
        <w:tc>
          <w:tcPr>
            <w:tcW w:w="704" w:type="dxa"/>
          </w:tcPr>
          <w:p w14:paraId="2A99781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14:paraId="5C9FF20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14:paraId="7F14C5D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14:paraId="5AF5C382"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15A315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A36025" w14:paraId="6513A1D1" w14:textId="77777777" w:rsidTr="00ED3D13">
        <w:trPr>
          <w:trHeight w:val="1119"/>
          <w:jc w:val="center"/>
        </w:trPr>
        <w:tc>
          <w:tcPr>
            <w:tcW w:w="704" w:type="dxa"/>
          </w:tcPr>
          <w:p w14:paraId="7519A791"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14:paraId="743E4E1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14:paraId="1548038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14:paraId="06BD48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14:paraId="2680645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14:paraId="26975CB7"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14:paraId="17CCA7E8"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14:paraId="21523770"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14:paraId="6A259A7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14:paraId="3FA33B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14:paraId="741BF15A"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14:paraId="6F06EEEC"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14:paraId="7808BCDB"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14:paraId="024217C5" w14:textId="77777777"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14:paraId="3C969DEF"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935AA99" w14:textId="77777777"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DE9915"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8A38AE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14:paraId="0C431414" w14:textId="77777777" w:rsidTr="00ED3D13">
        <w:trPr>
          <w:trHeight w:val="1119"/>
          <w:jc w:val="center"/>
        </w:trPr>
        <w:tc>
          <w:tcPr>
            <w:tcW w:w="704" w:type="dxa"/>
          </w:tcPr>
          <w:p w14:paraId="3D33C51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14:paraId="061CC7FE"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14:paraId="19311D7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14:paraId="26840829" w14:textId="77777777" w:rsidTr="00ED3D13">
        <w:trPr>
          <w:trHeight w:val="841"/>
          <w:jc w:val="center"/>
        </w:trPr>
        <w:tc>
          <w:tcPr>
            <w:tcW w:w="704" w:type="dxa"/>
          </w:tcPr>
          <w:p w14:paraId="0465F43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14:paraId="5655ED1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14:paraId="39757DC6"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66D66A"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33C9744"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8318C" w:rsidRPr="00A103E5" w14:paraId="70A37F7F" w14:textId="77777777" w:rsidTr="00ED3D13">
        <w:trPr>
          <w:trHeight w:val="442"/>
          <w:jc w:val="center"/>
        </w:trPr>
        <w:tc>
          <w:tcPr>
            <w:tcW w:w="10512" w:type="dxa"/>
            <w:gridSpan w:val="3"/>
            <w:vAlign w:val="center"/>
          </w:tcPr>
          <w:p w14:paraId="3239DB6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14:paraId="3BFA99B0" w14:textId="77777777" w:rsidTr="00ED3D13">
        <w:trPr>
          <w:trHeight w:val="1119"/>
          <w:jc w:val="center"/>
        </w:trPr>
        <w:tc>
          <w:tcPr>
            <w:tcW w:w="704" w:type="dxa"/>
          </w:tcPr>
          <w:p w14:paraId="4B5F0CF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18824EC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14:paraId="6FD35BD8" w14:textId="77777777" w:rsidR="00EA7F3F" w:rsidRPr="00EA7F3F" w:rsidRDefault="00EA7F3F" w:rsidP="00EA7F3F">
            <w:pPr>
              <w:pBdr>
                <w:top w:val="nil"/>
                <w:left w:val="nil"/>
                <w:bottom w:val="nil"/>
                <w:right w:val="nil"/>
                <w:between w:val="nil"/>
              </w:pBdr>
              <w:spacing w:after="0"/>
              <w:rPr>
                <w:rFonts w:ascii="Times New Roman" w:hAnsi="Times New Roman" w:cs="Times New Roman"/>
                <w:color w:val="000000"/>
                <w:sz w:val="24"/>
                <w:szCs w:val="24"/>
              </w:rPr>
            </w:pPr>
            <w:r w:rsidRPr="00EA7F3F">
              <w:rPr>
                <w:rFonts w:ascii="Times New Roman" w:hAnsi="Times New Roman" w:cs="Times New Roman"/>
                <w:color w:val="000000"/>
                <w:sz w:val="24"/>
                <w:szCs w:val="24"/>
              </w:rPr>
              <w:t>Кінцевий строк подання тендерних пропозицій:</w:t>
            </w:r>
          </w:p>
          <w:p w14:paraId="1A776F79" w14:textId="6E95A6D6" w:rsidR="00EA7F3F" w:rsidRPr="00EA7F3F"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EA7F3F">
              <w:rPr>
                <w:rFonts w:ascii="Times New Roman" w:hAnsi="Times New Roman" w:cs="Times New Roman"/>
                <w:b/>
                <w:color w:val="000000"/>
                <w:sz w:val="24"/>
                <w:szCs w:val="24"/>
              </w:rPr>
              <w:t xml:space="preserve">Дата – </w:t>
            </w:r>
            <w:r w:rsidRPr="00EA7F3F">
              <w:rPr>
                <w:rFonts w:ascii="Times New Roman" w:hAnsi="Times New Roman" w:cs="Times New Roman"/>
                <w:b/>
                <w:color w:val="000000" w:themeColor="text1"/>
                <w:sz w:val="24"/>
                <w:szCs w:val="24"/>
              </w:rPr>
              <w:t>«</w:t>
            </w:r>
            <w:r w:rsidR="009D4CE8">
              <w:rPr>
                <w:rFonts w:ascii="Times New Roman" w:hAnsi="Times New Roman" w:cs="Times New Roman"/>
                <w:b/>
                <w:color w:val="000000" w:themeColor="text1"/>
                <w:sz w:val="24"/>
                <w:szCs w:val="24"/>
                <w:lang w:val="uk-UA"/>
              </w:rPr>
              <w:t>09</w:t>
            </w:r>
            <w:r w:rsidRPr="00EA7F3F">
              <w:rPr>
                <w:rFonts w:ascii="Times New Roman" w:hAnsi="Times New Roman" w:cs="Times New Roman"/>
                <w:b/>
                <w:color w:val="000000" w:themeColor="text1"/>
                <w:sz w:val="24"/>
                <w:szCs w:val="24"/>
              </w:rPr>
              <w:t>» лютого 2024 року</w:t>
            </w:r>
            <w:r w:rsidRPr="00EA7F3F">
              <w:rPr>
                <w:rFonts w:ascii="Times New Roman" w:hAnsi="Times New Roman" w:cs="Times New Roman"/>
                <w:b/>
                <w:color w:val="000000"/>
                <w:sz w:val="24"/>
                <w:szCs w:val="24"/>
              </w:rPr>
              <w:t>;</w:t>
            </w:r>
          </w:p>
          <w:p w14:paraId="1A6BFDF7" w14:textId="121756D1" w:rsidR="0048318C" w:rsidRPr="00EA7F3F"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EA7F3F">
              <w:rPr>
                <w:rFonts w:ascii="Times New Roman" w:hAnsi="Times New Roman" w:cs="Times New Roman"/>
                <w:b/>
                <w:color w:val="000000"/>
                <w:sz w:val="24"/>
                <w:szCs w:val="24"/>
              </w:rPr>
              <w:t xml:space="preserve">Час - до </w:t>
            </w:r>
            <w:r w:rsidRPr="00EA7F3F">
              <w:rPr>
                <w:rFonts w:ascii="Times New Roman" w:hAnsi="Times New Roman" w:cs="Times New Roman"/>
                <w:b/>
                <w:sz w:val="24"/>
                <w:szCs w:val="24"/>
              </w:rPr>
              <w:t>00</w:t>
            </w:r>
            <w:r w:rsidRPr="00EA7F3F">
              <w:rPr>
                <w:rFonts w:ascii="Times New Roman" w:hAnsi="Times New Roman" w:cs="Times New Roman"/>
                <w:b/>
                <w:color w:val="000000"/>
                <w:sz w:val="24"/>
                <w:szCs w:val="24"/>
              </w:rPr>
              <w:t>:00 год.</w:t>
            </w:r>
          </w:p>
        </w:tc>
      </w:tr>
      <w:tr w:rsidR="0048318C" w:rsidRPr="00A36025" w14:paraId="0C86101E" w14:textId="77777777" w:rsidTr="00ED3D13">
        <w:trPr>
          <w:trHeight w:val="1119"/>
          <w:jc w:val="center"/>
        </w:trPr>
        <w:tc>
          <w:tcPr>
            <w:tcW w:w="704" w:type="dxa"/>
          </w:tcPr>
          <w:p w14:paraId="17E6CE2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14:paraId="0C807B0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14:paraId="37FB82FF" w14:textId="77777777"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DD3BDD"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741B0">
              <w:rPr>
                <w:rFonts w:ascii="Times New Roman" w:eastAsia="Times New Roman" w:hAnsi="Times New Roman" w:cs="Times New Roman"/>
                <w:color w:val="000000"/>
                <w:sz w:val="24"/>
                <w:szCs w:val="24"/>
                <w:lang w:val="uk-UA" w:eastAsia="uk-UA"/>
              </w:rPr>
              <w:lastRenderedPageBreak/>
              <w:t>Закону.</w:t>
            </w:r>
          </w:p>
          <w:p w14:paraId="304E7536"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CF36FFC"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21BE872"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3B12558"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DF28931" w14:textId="77777777" w:rsidR="001741B0" w:rsidRPr="00A103E5" w:rsidRDefault="001741B0" w:rsidP="00ED3D13">
            <w:pPr>
              <w:jc w:val="both"/>
              <w:rPr>
                <w:rFonts w:ascii="Times New Roman" w:hAnsi="Times New Roman" w:cs="Times New Roman"/>
                <w:sz w:val="24"/>
                <w:szCs w:val="24"/>
                <w:lang w:val="uk-UA"/>
              </w:rPr>
            </w:pPr>
          </w:p>
        </w:tc>
      </w:tr>
      <w:tr w:rsidR="0048318C" w:rsidRPr="00A103E5" w14:paraId="3FFDCA56" w14:textId="77777777" w:rsidTr="00ED3D13">
        <w:trPr>
          <w:trHeight w:val="512"/>
          <w:jc w:val="center"/>
        </w:trPr>
        <w:tc>
          <w:tcPr>
            <w:tcW w:w="10512" w:type="dxa"/>
            <w:gridSpan w:val="3"/>
            <w:vAlign w:val="center"/>
          </w:tcPr>
          <w:p w14:paraId="0E25175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A36025" w14:paraId="01E3F47D" w14:textId="77777777" w:rsidTr="00ED3D13">
        <w:trPr>
          <w:trHeight w:val="1119"/>
          <w:jc w:val="center"/>
        </w:trPr>
        <w:tc>
          <w:tcPr>
            <w:tcW w:w="704" w:type="dxa"/>
          </w:tcPr>
          <w:p w14:paraId="06481BA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17590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14:paraId="4C6B6E64"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14:paraId="5076D5A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79F06EDE" w14:textId="77777777"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14:paraId="17DA21C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103E5">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14:paraId="264D9A31"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2122AB"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3BBDE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2F23C0F" w14:textId="77777777"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1741B0" w:rsidRPr="001741B0">
              <w:rPr>
                <w:rFonts w:ascii="Times New Roman" w:hAnsi="Times New Roman" w:cs="Times New Roman"/>
                <w:sz w:val="24"/>
                <w:szCs w:val="24"/>
                <w:lang w:val="uk-UA"/>
              </w:rPr>
              <w:t>.</w:t>
            </w:r>
          </w:p>
          <w:p w14:paraId="51F6FB2B" w14:textId="77777777"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0E73DF" w14:textId="77777777"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B878FB">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14:paraId="447FDDEB"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14:paraId="78716B24"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283E1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E1BA9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14:paraId="0ABEFC7C" w14:textId="77777777"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BE8D02D" w14:textId="77777777"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14:paraId="0D8731DB" w14:textId="77777777"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905A6E" w14:textId="77777777"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ED3D13">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E9E675" w14:textId="77777777"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3AEEB2" w14:textId="77777777"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14:paraId="3B81F9F4" w14:textId="77777777" w:rsidTr="00ED3D13">
        <w:trPr>
          <w:trHeight w:val="841"/>
          <w:jc w:val="center"/>
        </w:trPr>
        <w:tc>
          <w:tcPr>
            <w:tcW w:w="704" w:type="dxa"/>
          </w:tcPr>
          <w:p w14:paraId="2127206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7511C8D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14:paraId="4653836D"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14:paraId="0CE5CED5"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3C79DF"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1C5E92"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103E5">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64B27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7209977"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14:paraId="08AC3038"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0C27A7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FE1ABF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8F9A39"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1C2E9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34EF76"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48D3651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w:t>
            </w:r>
            <w:r w:rsidRPr="00A103E5">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14:paraId="70D9504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14:paraId="5BE8E35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06597A2" w14:textId="77777777"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2476E956" w14:textId="77777777"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00E246A9" w14:textId="77777777"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 xml:space="preserve">Учасник у складі тендерної пропозиції має надати документ у довільній формі, який підтверджує, що </w:t>
            </w:r>
            <w:r w:rsidR="00E47936" w:rsidRPr="00436F85">
              <w:rPr>
                <w:lang w:val="uk-UA"/>
              </w:rPr>
              <w:lastRenderedPageBreak/>
              <w:t>запропонований товар не є товаром, що походить з Російської Федерації / Республіки Білорусь</w:t>
            </w:r>
            <w:r w:rsidR="00436F85">
              <w:rPr>
                <w:lang w:val="uk-UA"/>
              </w:rPr>
              <w:t>.</w:t>
            </w:r>
          </w:p>
          <w:p w14:paraId="03BD80A3" w14:textId="77777777"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14:paraId="17FCAC62" w14:textId="77777777"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36DEF4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14:paraId="7DEF86AF" w14:textId="77777777" w:rsidTr="00ED3D13">
        <w:trPr>
          <w:trHeight w:val="1119"/>
          <w:jc w:val="center"/>
        </w:trPr>
        <w:tc>
          <w:tcPr>
            <w:tcW w:w="704" w:type="dxa"/>
          </w:tcPr>
          <w:p w14:paraId="045ECC4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14:paraId="43D0647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14:paraId="2CAAEF71" w14:textId="77777777"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r w:rsidR="00E47936" w:rsidRPr="00E4793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4B07D18"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71BBE0A6"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14:paraId="4FA645D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14:paraId="38D1A3DE"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884AEC"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50AF2051"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E47936">
              <w:rPr>
                <w:rFonts w:ascii="Times New Roman" w:eastAsia="Times New Roman" w:hAnsi="Times New Roman" w:cs="Times New Roman"/>
                <w:color w:val="000000"/>
                <w:sz w:val="24"/>
                <w:szCs w:val="24"/>
                <w:lang w:val="uk-UA" w:eastAsia="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77A26F"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9F627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690C5B8"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14:paraId="0AFE0BEC"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14:paraId="4F1C1BAC"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r w:rsidRPr="00E47936">
              <w:rPr>
                <w:rFonts w:ascii="Times New Roman" w:eastAsia="Times New Roman" w:hAnsi="Times New Roman" w:cs="Times New Roman"/>
                <w:color w:val="000000"/>
                <w:sz w:val="24"/>
                <w:szCs w:val="24"/>
                <w:lang w:val="uk-UA" w:eastAsia="ru-RU"/>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45E8582"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14:paraId="39346E8B"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81ABAE"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8A3FC3E"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36109BA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14:paraId="36315527"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9C8513"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A9DD75"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47A183C8"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4964ED"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0CB1A6B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654E943"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8566B6"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E47936">
              <w:rPr>
                <w:rFonts w:ascii="Times New Roman" w:eastAsia="Times New Roman" w:hAnsi="Times New Roman" w:cs="Times New Roman"/>
                <w:color w:val="000000"/>
                <w:sz w:val="24"/>
                <w:szCs w:val="24"/>
                <w:lang w:val="uk-UA" w:eastAsia="ru-RU"/>
              </w:rPr>
              <w:lastRenderedPageBreak/>
              <w:t>учасника санкції (рішення суду або факт добровільної сплати штрафу, або відшкодування збитків).</w:t>
            </w:r>
          </w:p>
          <w:p w14:paraId="62C236D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4FBFF249"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BEBC3B"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5D47D18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73D83A1"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14:paraId="7BD5EF59" w14:textId="77777777" w:rsidTr="00ED3D13">
        <w:trPr>
          <w:trHeight w:val="472"/>
          <w:jc w:val="center"/>
        </w:trPr>
        <w:tc>
          <w:tcPr>
            <w:tcW w:w="10512" w:type="dxa"/>
            <w:gridSpan w:val="3"/>
            <w:vAlign w:val="center"/>
          </w:tcPr>
          <w:p w14:paraId="690EE78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14:paraId="579DBF0B" w14:textId="77777777" w:rsidTr="00ED3D13">
        <w:trPr>
          <w:trHeight w:val="1119"/>
          <w:jc w:val="center"/>
        </w:trPr>
        <w:tc>
          <w:tcPr>
            <w:tcW w:w="704" w:type="dxa"/>
          </w:tcPr>
          <w:p w14:paraId="594C357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14:paraId="5BAB4A07"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14:paraId="5543D2CC" w14:textId="77777777"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r w:rsidR="003C273D" w:rsidRPr="003C273D">
              <w:rPr>
                <w:rFonts w:ascii="Times New Roman" w:hAnsi="Times New Roman" w:cs="Times New Roman"/>
                <w:sz w:val="24"/>
                <w:szCs w:val="24"/>
              </w:rPr>
              <w:t>Замовник відміняє відкриті торги у разі:</w:t>
            </w:r>
          </w:p>
          <w:p w14:paraId="25FAB74D"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14:paraId="1E56BAA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4241B4"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8DF450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866C3BA"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96F9DAA"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6A004B1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3C273D">
              <w:rPr>
                <w:rFonts w:ascii="Times New Roman" w:hAnsi="Times New Roman" w:cs="Times New Roman"/>
                <w:sz w:val="24"/>
                <w:szCs w:val="24"/>
                <w:lang w:val="uk-UA"/>
              </w:rPr>
              <w:lastRenderedPageBreak/>
              <w:t>замовником) згідно з цими особливостями;</w:t>
            </w:r>
          </w:p>
          <w:p w14:paraId="284C8985"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B446B97"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E04325"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14:paraId="787C9A43"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F36E28A" w14:textId="77777777" w:rsidR="0048318C" w:rsidRPr="00A103E5" w:rsidRDefault="0048318C" w:rsidP="00ED3D13">
            <w:pPr>
              <w:jc w:val="both"/>
              <w:rPr>
                <w:rFonts w:ascii="Times New Roman" w:hAnsi="Times New Roman" w:cs="Times New Roman"/>
                <w:sz w:val="24"/>
                <w:szCs w:val="24"/>
                <w:lang w:val="uk-UA"/>
              </w:rPr>
            </w:pPr>
          </w:p>
        </w:tc>
      </w:tr>
      <w:tr w:rsidR="0048318C" w:rsidRPr="00A103E5" w14:paraId="48792C39" w14:textId="77777777" w:rsidTr="00ED3D13">
        <w:trPr>
          <w:trHeight w:val="1119"/>
          <w:jc w:val="center"/>
        </w:trPr>
        <w:tc>
          <w:tcPr>
            <w:tcW w:w="704" w:type="dxa"/>
          </w:tcPr>
          <w:p w14:paraId="59B6ECF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14:paraId="59AD0BF4" w14:textId="77777777"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14:paraId="5EB07C23" w14:textId="77777777"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72528" w14:textId="77777777"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8318C" w:rsidRPr="00ED3D13" w14:paraId="6DC293E5" w14:textId="77777777" w:rsidTr="00ED3D13">
        <w:trPr>
          <w:trHeight w:val="699"/>
          <w:jc w:val="center"/>
        </w:trPr>
        <w:tc>
          <w:tcPr>
            <w:tcW w:w="704" w:type="dxa"/>
          </w:tcPr>
          <w:p w14:paraId="6BA2657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14:paraId="501C63F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14:paraId="6C350394"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48D72BB8"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1B4FB81" w14:textId="77777777"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w:t>
            </w:r>
            <w:r w:rsidRPr="00A103E5">
              <w:rPr>
                <w:rFonts w:ascii="Times New Roman" w:hAnsi="Times New Roman" w:cs="Times New Roman"/>
                <w:sz w:val="24"/>
                <w:szCs w:val="24"/>
                <w:lang w:val="uk-UA"/>
              </w:rPr>
              <w:lastRenderedPageBreak/>
              <w:t xml:space="preserve">передати замовнику один примірник договору. </w:t>
            </w:r>
            <w:r w:rsidRPr="003C273D">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14:paraId="1721262F" w14:textId="77777777"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14:paraId="09D8B10D" w14:textId="77777777" w:rsidTr="00ED3D13">
        <w:trPr>
          <w:trHeight w:val="1119"/>
          <w:jc w:val="center"/>
        </w:trPr>
        <w:tc>
          <w:tcPr>
            <w:tcW w:w="704" w:type="dxa"/>
          </w:tcPr>
          <w:p w14:paraId="5CB0993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14:paraId="7DF3023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14:paraId="6EA9B287"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14:paraId="7F32D342"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14:paraId="5BDF92AC"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0AA887"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52F006ED"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46A1A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B4E25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5C909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5) погодження зміни ціни в договорі про закупівлю в бік </w:t>
            </w:r>
            <w:r w:rsidRPr="00DE5A7C">
              <w:rPr>
                <w:rFonts w:ascii="Times New Roman" w:eastAsia="Times New Roman" w:hAnsi="Times New Roman" w:cs="Times New Roman"/>
                <w:color w:val="000000"/>
                <w:sz w:val="24"/>
                <w:szCs w:val="24"/>
                <w:lang w:val="uk-UA" w:eastAsia="ru-RU"/>
              </w:rPr>
              <w:lastRenderedPageBreak/>
              <w:t>зменшення (без зміни кількості (обсягу) та якості товарів, робіт і послуг);</w:t>
            </w:r>
          </w:p>
          <w:p w14:paraId="1924522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14:paraId="2170F684"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ADF6F4" w14:textId="77777777"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14:paraId="7DE7AFAD"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C4B732A"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14:paraId="358DDAB7"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1E0C6AC3"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14:paraId="5D686ADE"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14:paraId="11BB8C4D" w14:textId="77777777" w:rsidTr="00ED3D13">
        <w:trPr>
          <w:trHeight w:val="1119"/>
          <w:jc w:val="center"/>
        </w:trPr>
        <w:tc>
          <w:tcPr>
            <w:tcW w:w="704" w:type="dxa"/>
          </w:tcPr>
          <w:p w14:paraId="590CF08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14:paraId="607341D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14:paraId="40B242DA" w14:textId="77777777"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342A93">
              <w:rPr>
                <w:rFonts w:ascii="Times New Roman" w:eastAsia="Times New Roman" w:hAnsi="Times New Roman" w:cs="Times New Roman"/>
                <w:iCs/>
                <w:color w:val="000000"/>
                <w:sz w:val="24"/>
                <w:szCs w:val="24"/>
                <w:lang w:val="uk-UA" w:eastAsia="ru-RU"/>
              </w:rPr>
              <w:lastRenderedPageBreak/>
              <w:t xml:space="preserve">порядку та на умовах, визначених статтею </w:t>
            </w:r>
            <w:r w:rsidRPr="00342A93">
              <w:rPr>
                <w:rFonts w:ascii="Times New Roman" w:eastAsia="Times New Roman" w:hAnsi="Times New Roman" w:cs="Times New Roman"/>
                <w:iCs/>
                <w:color w:val="000000"/>
                <w:sz w:val="24"/>
                <w:szCs w:val="24"/>
                <w:lang w:eastAsia="ru-RU"/>
              </w:rPr>
              <w:t>33 Закону та цим пунктом</w:t>
            </w:r>
            <w:r w:rsidRPr="00342A93">
              <w:rPr>
                <w:rFonts w:ascii="Times New Roman" w:eastAsia="Times New Roman" w:hAnsi="Times New Roman" w:cs="Times New Roman"/>
                <w:color w:val="000000"/>
                <w:sz w:val="24"/>
                <w:szCs w:val="24"/>
                <w:lang w:val="uk-UA" w:eastAsia="ru-RU"/>
              </w:rPr>
              <w:t>.</w:t>
            </w:r>
          </w:p>
        </w:tc>
      </w:tr>
      <w:tr w:rsidR="0048318C" w:rsidRPr="00A103E5" w14:paraId="5D588C5B" w14:textId="77777777" w:rsidTr="00ED3D13">
        <w:trPr>
          <w:trHeight w:val="1119"/>
          <w:jc w:val="center"/>
        </w:trPr>
        <w:tc>
          <w:tcPr>
            <w:tcW w:w="704" w:type="dxa"/>
          </w:tcPr>
          <w:p w14:paraId="63021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14:paraId="623B269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14:paraId="124432AB" w14:textId="77777777"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14:paraId="290D6EC7" w14:textId="77777777" w:rsidR="0048318C" w:rsidRPr="009E60C4" w:rsidRDefault="0048318C" w:rsidP="0048318C">
      <w:pPr>
        <w:rPr>
          <w:lang w:val="uk-UA"/>
        </w:rPr>
      </w:pPr>
    </w:p>
    <w:p w14:paraId="035F9B78" w14:textId="77777777" w:rsidR="0048318C" w:rsidRDefault="0048318C" w:rsidP="0048318C"/>
    <w:p w14:paraId="05DBEF8A" w14:textId="77777777" w:rsidR="0048318C" w:rsidRDefault="0048318C" w:rsidP="0048318C"/>
    <w:p w14:paraId="6181234C" w14:textId="77777777" w:rsidR="0048318C" w:rsidRDefault="0048318C" w:rsidP="0048318C"/>
    <w:p w14:paraId="32341438" w14:textId="77777777" w:rsidR="0048318C" w:rsidRDefault="0048318C" w:rsidP="0048318C"/>
    <w:p w14:paraId="12F87A9E" w14:textId="77777777" w:rsidR="007B026B" w:rsidRDefault="007B026B"/>
    <w:sectPr w:rsidR="007B026B" w:rsidSect="000870E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318C"/>
    <w:rsid w:val="00005A23"/>
    <w:rsid w:val="000870EF"/>
    <w:rsid w:val="001509A4"/>
    <w:rsid w:val="001741B0"/>
    <w:rsid w:val="001D4D6C"/>
    <w:rsid w:val="00214B56"/>
    <w:rsid w:val="00233F62"/>
    <w:rsid w:val="00382A02"/>
    <w:rsid w:val="003B638E"/>
    <w:rsid w:val="003C273D"/>
    <w:rsid w:val="00436F85"/>
    <w:rsid w:val="0048318C"/>
    <w:rsid w:val="00496F7D"/>
    <w:rsid w:val="00561DBC"/>
    <w:rsid w:val="00644331"/>
    <w:rsid w:val="00646BB0"/>
    <w:rsid w:val="006E479A"/>
    <w:rsid w:val="006F1B7B"/>
    <w:rsid w:val="00753925"/>
    <w:rsid w:val="007B026B"/>
    <w:rsid w:val="00834291"/>
    <w:rsid w:val="00886685"/>
    <w:rsid w:val="009A1EFB"/>
    <w:rsid w:val="009D2E9E"/>
    <w:rsid w:val="009D4CE8"/>
    <w:rsid w:val="00A2759C"/>
    <w:rsid w:val="00A36025"/>
    <w:rsid w:val="00A37076"/>
    <w:rsid w:val="00A8713F"/>
    <w:rsid w:val="00B878FB"/>
    <w:rsid w:val="00C247BB"/>
    <w:rsid w:val="00C61CBF"/>
    <w:rsid w:val="00C82548"/>
    <w:rsid w:val="00CC2F7B"/>
    <w:rsid w:val="00CD66BB"/>
    <w:rsid w:val="00CD67D5"/>
    <w:rsid w:val="00D804A7"/>
    <w:rsid w:val="00E47936"/>
    <w:rsid w:val="00EA7F3F"/>
    <w:rsid w:val="00ED3D13"/>
    <w:rsid w:val="00ED6237"/>
    <w:rsid w:val="00F035D1"/>
    <w:rsid w:val="00F54DC5"/>
    <w:rsid w:val="00F8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A0B"/>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34915</Words>
  <Characters>19903</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Law Ideology</cp:lastModifiedBy>
  <cp:revision>42</cp:revision>
  <dcterms:created xsi:type="dcterms:W3CDTF">2023-05-18T19:57:00Z</dcterms:created>
  <dcterms:modified xsi:type="dcterms:W3CDTF">2024-02-01T08:09:00Z</dcterms:modified>
</cp:coreProperties>
</file>