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CA" w:rsidRPr="00A406EE" w:rsidRDefault="009F62CA" w:rsidP="009F62CA">
      <w:pPr>
        <w:spacing w:after="0" w:line="264" w:lineRule="auto"/>
        <w:ind w:left="6521"/>
        <w:jc w:val="right"/>
        <w:rPr>
          <w:rFonts w:ascii="Times New Roman" w:eastAsia="Times New Roman" w:hAnsi="Times New Roman" w:cs="Times New Roman"/>
          <w:b/>
          <w:sz w:val="24"/>
          <w:szCs w:val="24"/>
          <w:lang w:eastAsia="ru-RU"/>
        </w:rPr>
      </w:pPr>
      <w:r w:rsidRPr="00A406EE">
        <w:rPr>
          <w:rFonts w:ascii="Times New Roman" w:eastAsia="Times New Roman" w:hAnsi="Times New Roman" w:cs="Times New Roman"/>
          <w:b/>
          <w:sz w:val="24"/>
          <w:szCs w:val="24"/>
          <w:lang w:eastAsia="ru-RU"/>
        </w:rPr>
        <w:t>ДОДАТОК 4 до ТД</w:t>
      </w:r>
    </w:p>
    <w:p w:rsidR="009F62CA" w:rsidRPr="00A406EE" w:rsidRDefault="009F62CA" w:rsidP="009F62CA">
      <w:pPr>
        <w:spacing w:after="0" w:line="240" w:lineRule="auto"/>
        <w:jc w:val="center"/>
        <w:rPr>
          <w:rFonts w:ascii="Times New Roman" w:eastAsia="Times New Roman" w:hAnsi="Times New Roman" w:cs="Times New Roman"/>
          <w:b/>
          <w:iCs/>
          <w:sz w:val="24"/>
          <w:szCs w:val="24"/>
          <w:lang w:eastAsia="ru-RU"/>
        </w:rPr>
      </w:pPr>
      <w:r w:rsidRPr="00A406EE">
        <w:rPr>
          <w:rFonts w:ascii="Times New Roman" w:eastAsia="Times New Roman" w:hAnsi="Times New Roman" w:cs="Times New Roman"/>
          <w:b/>
          <w:sz w:val="24"/>
          <w:szCs w:val="24"/>
          <w:lang w:eastAsia="ru-RU"/>
        </w:rPr>
        <w:t xml:space="preserve">ІНФОРМАЦІЯ ПРО ТЕХНІЧНІ, ЯКІСНІ ТА КІЛЬКІСНІ ХАРАКТЕРИСТИКИ </w:t>
      </w:r>
      <w:r w:rsidRPr="00A406EE">
        <w:rPr>
          <w:rFonts w:ascii="Times New Roman" w:eastAsia="Times New Roman" w:hAnsi="Times New Roman" w:cs="Times New Roman"/>
          <w:b/>
          <w:iCs/>
          <w:sz w:val="24"/>
          <w:szCs w:val="24"/>
          <w:lang w:eastAsia="ru-RU"/>
        </w:rPr>
        <w:t>ПРЕДМЕТА ЗАКУПІВЛІ</w:t>
      </w:r>
    </w:p>
    <w:p w:rsidR="009F62CA" w:rsidRPr="00A406EE" w:rsidRDefault="009F62CA" w:rsidP="009F62CA">
      <w:pPr>
        <w:spacing w:after="0" w:line="240" w:lineRule="auto"/>
        <w:jc w:val="center"/>
        <w:rPr>
          <w:rFonts w:ascii="Times New Roman" w:eastAsia="Times New Roman" w:hAnsi="Times New Roman" w:cs="Times New Roman"/>
          <w:b/>
          <w:sz w:val="24"/>
          <w:szCs w:val="24"/>
          <w:lang w:eastAsia="ru-RU"/>
        </w:rPr>
      </w:pPr>
    </w:p>
    <w:p w:rsidR="009F62CA" w:rsidRPr="00A406EE" w:rsidRDefault="009F62CA" w:rsidP="009F62CA">
      <w:pPr>
        <w:widowControl w:val="0"/>
        <w:suppressAutoHyphens/>
        <w:spacing w:after="0" w:line="240" w:lineRule="auto"/>
        <w:ind w:firstLine="567"/>
        <w:jc w:val="both"/>
        <w:rPr>
          <w:rFonts w:ascii="Times New Roman" w:eastAsia="Times New Roman" w:hAnsi="Times New Roman" w:cs="Times New Roman"/>
          <w:b/>
          <w:bCs/>
          <w:color w:val="000000"/>
          <w:sz w:val="24"/>
          <w:szCs w:val="24"/>
          <w:lang w:eastAsia="ar-SA"/>
        </w:rPr>
      </w:pPr>
      <w:r w:rsidRPr="00A406EE">
        <w:rPr>
          <w:rFonts w:ascii="Times New Roman" w:eastAsia="Times New Roman" w:hAnsi="Times New Roman" w:cs="Times New Roman"/>
          <w:bCs/>
          <w:color w:val="000000"/>
          <w:sz w:val="24"/>
          <w:szCs w:val="24"/>
          <w:lang w:eastAsia="ar-SA"/>
        </w:rPr>
        <w:t>Замовник здійснює закупівлю</w:t>
      </w:r>
      <w:r w:rsidRPr="00A406EE">
        <w:rPr>
          <w:rFonts w:ascii="Times New Roman" w:eastAsia="Times New Roman" w:hAnsi="Times New Roman" w:cs="Times New Roman"/>
          <w:b/>
          <w:bCs/>
          <w:color w:val="000000"/>
          <w:sz w:val="24"/>
          <w:szCs w:val="24"/>
          <w:lang w:eastAsia="ar-SA"/>
        </w:rPr>
        <w:t xml:space="preserve"> товару </w:t>
      </w:r>
      <w:r w:rsidRPr="00A406EE">
        <w:rPr>
          <w:rFonts w:ascii="Times New Roman" w:eastAsia="Times New Roman" w:hAnsi="Times New Roman" w:cs="Times New Roman"/>
          <w:b/>
          <w:bCs/>
          <w:color w:val="000000"/>
          <w:lang w:eastAsia="ar-SA"/>
        </w:rPr>
        <w:t>Код ДК 021:2015 - 09120000-6</w:t>
      </w:r>
      <w:r w:rsidRPr="00A406EE">
        <w:rPr>
          <w:rFonts w:ascii="Times New Roman" w:eastAsia="Times New Roman" w:hAnsi="Times New Roman" w:cs="Times New Roman"/>
          <w:b/>
          <w:bCs/>
          <w:color w:val="000000"/>
          <w:lang w:val="ru-RU" w:eastAsia="ar-SA"/>
        </w:rPr>
        <w:t xml:space="preserve"> –</w:t>
      </w:r>
      <w:r w:rsidRPr="00A406EE">
        <w:rPr>
          <w:rFonts w:ascii="Times New Roman" w:eastAsia="Times New Roman" w:hAnsi="Times New Roman" w:cs="Times New Roman"/>
          <w:bCs/>
          <w:color w:val="000000"/>
          <w:lang w:eastAsia="ar-SA"/>
        </w:rPr>
        <w:t xml:space="preserve"> </w:t>
      </w:r>
      <w:r w:rsidRPr="00A406EE">
        <w:rPr>
          <w:rFonts w:ascii="Times New Roman" w:eastAsia="Times New Roman" w:hAnsi="Times New Roman" w:cs="Times New Roman"/>
          <w:b/>
          <w:bCs/>
          <w:color w:val="000000"/>
          <w:lang w:eastAsia="ar-SA"/>
        </w:rPr>
        <w:t>Газове паливо</w:t>
      </w:r>
      <w:r w:rsidRPr="00A406EE">
        <w:rPr>
          <w:rFonts w:ascii="Times New Roman" w:eastAsia="Times New Roman" w:hAnsi="Times New Roman" w:cs="Times New Roman"/>
          <w:bCs/>
          <w:color w:val="000000"/>
          <w:lang w:eastAsia="ar-SA"/>
        </w:rPr>
        <w:t xml:space="preserve"> </w:t>
      </w:r>
      <w:r w:rsidRPr="00A406EE">
        <w:rPr>
          <w:rFonts w:ascii="Times New Roman" w:eastAsia="Times New Roman" w:hAnsi="Times New Roman" w:cs="Times New Roman"/>
          <w:b/>
          <w:color w:val="000000"/>
          <w:lang w:eastAsia="ar-SA"/>
        </w:rPr>
        <w:t>(09123000-7 – природний газ)</w:t>
      </w:r>
      <w:r w:rsidRPr="00A406EE">
        <w:rPr>
          <w:rFonts w:ascii="Times New Roman" w:eastAsia="Times New Roman" w:hAnsi="Times New Roman" w:cs="Times New Roman"/>
          <w:bCs/>
          <w:color w:val="000000"/>
          <w:sz w:val="24"/>
          <w:szCs w:val="24"/>
          <w:lang w:eastAsia="ar-SA"/>
        </w:rPr>
        <w:t xml:space="preserve"> як товарної продукції у відповідності до п.31 ч.1 ст.1</w:t>
      </w:r>
      <w:r w:rsidRPr="00A406EE">
        <w:rPr>
          <w:rFonts w:ascii="Times New Roman" w:eastAsia="Times New Roman" w:hAnsi="Times New Roman" w:cs="Times New Roman"/>
          <w:b/>
          <w:bCs/>
          <w:color w:val="000000"/>
          <w:sz w:val="24"/>
          <w:szCs w:val="24"/>
          <w:lang w:eastAsia="ar-SA"/>
        </w:rPr>
        <w:t xml:space="preserve"> </w:t>
      </w:r>
      <w:r w:rsidRPr="00A406EE">
        <w:rPr>
          <w:rFonts w:ascii="Times New Roman" w:eastAsia="Times New Roman" w:hAnsi="Times New Roman" w:cs="Times New Roman"/>
          <w:sz w:val="24"/>
          <w:szCs w:val="24"/>
          <w:lang w:eastAsia="ar-SA"/>
        </w:rPr>
        <w:t>Закону України „Про ринок природного газу”.</w:t>
      </w:r>
    </w:p>
    <w:p w:rsidR="009F62CA" w:rsidRPr="00A406EE" w:rsidRDefault="00FA4276" w:rsidP="009F62C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1. Кількість товару – 85 0</w:t>
      </w:r>
      <w:r w:rsidR="009F62CA" w:rsidRPr="00A406EE">
        <w:rPr>
          <w:rFonts w:ascii="Times New Roman" w:eastAsia="Times New Roman" w:hAnsi="Times New Roman" w:cs="Times New Roman"/>
          <w:sz w:val="24"/>
          <w:szCs w:val="24"/>
          <w:lang w:eastAsia="uk-UA"/>
        </w:rPr>
        <w:t xml:space="preserve">00 </w:t>
      </w:r>
      <w:r w:rsidR="009F62CA" w:rsidRPr="00A406EE">
        <w:rPr>
          <w:rFonts w:ascii="Times New Roman" w:eastAsia="Times New Roman" w:hAnsi="Times New Roman" w:cs="Times New Roman"/>
          <w:color w:val="000000"/>
          <w:sz w:val="24"/>
          <w:szCs w:val="24"/>
          <w:lang w:eastAsia="ru-RU"/>
        </w:rPr>
        <w:t>м3</w:t>
      </w:r>
    </w:p>
    <w:p w:rsidR="009F62CA" w:rsidRPr="00A406EE" w:rsidRDefault="009F62CA" w:rsidP="009F62CA">
      <w:pPr>
        <w:widowControl w:val="0"/>
        <w:spacing w:after="0" w:line="240" w:lineRule="auto"/>
        <w:ind w:firstLine="567"/>
        <w:contextualSpacing/>
        <w:jc w:val="both"/>
        <w:rPr>
          <w:rFonts w:ascii="Times New Roman" w:eastAsia="Times New Roman" w:hAnsi="Times New Roman" w:cs="Times New Roman"/>
          <w:sz w:val="24"/>
          <w:szCs w:val="24"/>
        </w:rPr>
      </w:pPr>
      <w:bookmarkStart w:id="0" w:name="n15"/>
      <w:bookmarkEnd w:id="0"/>
      <w:r w:rsidRPr="00A406EE">
        <w:rPr>
          <w:rFonts w:ascii="Times New Roman" w:eastAsia="Times New Roman" w:hAnsi="Times New Roman" w:cs="Times New Roman"/>
          <w:sz w:val="24"/>
          <w:szCs w:val="24"/>
          <w:lang w:eastAsia="ru-RU"/>
        </w:rPr>
        <w:t xml:space="preserve">2. Місце поставки товару </w:t>
      </w:r>
      <w:r w:rsidRPr="00A406EE">
        <w:rPr>
          <w:rFonts w:ascii="Times New Roman" w:eastAsia="Times New Roman" w:hAnsi="Times New Roman" w:cs="Times New Roman"/>
          <w:sz w:val="24"/>
          <w:szCs w:val="24"/>
        </w:rPr>
        <w:t xml:space="preserve">до точки входу в газорозподільну систему до якої підключені будівлі Замовника : </w:t>
      </w:r>
    </w:p>
    <w:p w:rsidR="00FA4276" w:rsidRDefault="00FA4276" w:rsidP="009F62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p>
    <w:tbl>
      <w:tblPr>
        <w:tblStyle w:val="2"/>
        <w:tblW w:w="9351" w:type="dxa"/>
        <w:jc w:val="center"/>
        <w:tblLook w:val="04A0" w:firstRow="1" w:lastRow="0" w:firstColumn="1" w:lastColumn="0" w:noHBand="0" w:noVBand="1"/>
      </w:tblPr>
      <w:tblGrid>
        <w:gridCol w:w="5524"/>
        <w:gridCol w:w="3827"/>
      </w:tblGrid>
      <w:tr w:rsidR="00FA4276" w:rsidRPr="00FA4276" w:rsidTr="00FA4276">
        <w:trPr>
          <w:jc w:val="center"/>
        </w:trPr>
        <w:tc>
          <w:tcPr>
            <w:tcW w:w="5524" w:type="dxa"/>
          </w:tcPr>
          <w:p w:rsidR="00FA4276" w:rsidRPr="00FA4276" w:rsidRDefault="00FA4276" w:rsidP="00FA4276">
            <w:pPr>
              <w:ind w:right="-1"/>
              <w:jc w:val="center"/>
              <w:rPr>
                <w:b/>
                <w:sz w:val="24"/>
                <w:szCs w:val="24"/>
              </w:rPr>
            </w:pPr>
            <w:r w:rsidRPr="00FA4276">
              <w:rPr>
                <w:b/>
                <w:sz w:val="24"/>
                <w:szCs w:val="24"/>
              </w:rPr>
              <w:t>Місцезнаходження точки комерційного обліку</w:t>
            </w:r>
          </w:p>
        </w:tc>
        <w:tc>
          <w:tcPr>
            <w:tcW w:w="3827" w:type="dxa"/>
          </w:tcPr>
          <w:p w:rsidR="00FA4276" w:rsidRPr="00FA4276" w:rsidRDefault="00FA4276" w:rsidP="00FA4276">
            <w:pPr>
              <w:ind w:right="-1"/>
              <w:jc w:val="center"/>
              <w:rPr>
                <w:b/>
                <w:sz w:val="24"/>
                <w:szCs w:val="24"/>
              </w:rPr>
            </w:pPr>
            <w:r w:rsidRPr="00FA4276">
              <w:rPr>
                <w:b/>
                <w:sz w:val="24"/>
                <w:szCs w:val="24"/>
              </w:rPr>
              <w:t>EIC-код точки комерційного обліку</w:t>
            </w:r>
          </w:p>
        </w:tc>
      </w:tr>
      <w:tr w:rsidR="00FA4276" w:rsidRPr="00FA4276" w:rsidTr="00FA4276">
        <w:trPr>
          <w:trHeight w:val="129"/>
          <w:jc w:val="center"/>
        </w:trPr>
        <w:tc>
          <w:tcPr>
            <w:tcW w:w="5524" w:type="dxa"/>
            <w:vAlign w:val="center"/>
          </w:tcPr>
          <w:p w:rsidR="00FA4276" w:rsidRPr="00FA4276" w:rsidRDefault="00FA4276" w:rsidP="00FA4276">
            <w:pPr>
              <w:jc w:val="center"/>
              <w:rPr>
                <w:sz w:val="24"/>
                <w:szCs w:val="24"/>
              </w:rPr>
            </w:pPr>
            <w:r w:rsidRPr="00FA4276">
              <w:rPr>
                <w:sz w:val="24"/>
                <w:szCs w:val="24"/>
              </w:rPr>
              <w:t>м. Виноградів, вул. Тюльпанів, 24</w:t>
            </w:r>
          </w:p>
        </w:tc>
        <w:tc>
          <w:tcPr>
            <w:tcW w:w="3827" w:type="dxa"/>
            <w:vAlign w:val="center"/>
          </w:tcPr>
          <w:p w:rsidR="00FA4276" w:rsidRPr="00FA4276" w:rsidRDefault="00FA4276" w:rsidP="00FA4276">
            <w:pPr>
              <w:jc w:val="center"/>
              <w:rPr>
                <w:sz w:val="24"/>
                <w:szCs w:val="24"/>
              </w:rPr>
            </w:pPr>
            <w:r w:rsidRPr="00FA4276">
              <w:rPr>
                <w:sz w:val="24"/>
                <w:szCs w:val="24"/>
              </w:rPr>
              <w:t>56ZS13A0Q5XBC03K</w:t>
            </w:r>
          </w:p>
        </w:tc>
      </w:tr>
      <w:tr w:rsidR="00FA4276" w:rsidRPr="00FA4276" w:rsidTr="00FA4276">
        <w:trPr>
          <w:trHeight w:val="129"/>
          <w:jc w:val="center"/>
        </w:trPr>
        <w:tc>
          <w:tcPr>
            <w:tcW w:w="5524" w:type="dxa"/>
            <w:vAlign w:val="center"/>
          </w:tcPr>
          <w:p w:rsidR="00FA4276" w:rsidRPr="00FA4276" w:rsidRDefault="00FA4276" w:rsidP="00FA4276">
            <w:pPr>
              <w:jc w:val="center"/>
              <w:rPr>
                <w:sz w:val="24"/>
                <w:szCs w:val="24"/>
              </w:rPr>
            </w:pPr>
            <w:r w:rsidRPr="00FA4276">
              <w:rPr>
                <w:sz w:val="24"/>
                <w:szCs w:val="24"/>
              </w:rPr>
              <w:t xml:space="preserve">м. Берегове, вул. </w:t>
            </w:r>
            <w:proofErr w:type="spellStart"/>
            <w:r w:rsidRPr="00FA4276">
              <w:rPr>
                <w:sz w:val="24"/>
                <w:szCs w:val="24"/>
              </w:rPr>
              <w:t>Бетлена</w:t>
            </w:r>
            <w:proofErr w:type="spellEnd"/>
            <w:r w:rsidR="00AC650D">
              <w:rPr>
                <w:sz w:val="24"/>
                <w:szCs w:val="24"/>
              </w:rPr>
              <w:t xml:space="preserve"> </w:t>
            </w:r>
            <w:proofErr w:type="spellStart"/>
            <w:r w:rsidR="00AC650D">
              <w:rPr>
                <w:sz w:val="24"/>
                <w:szCs w:val="24"/>
              </w:rPr>
              <w:t>Габора</w:t>
            </w:r>
            <w:proofErr w:type="spellEnd"/>
            <w:r w:rsidRPr="00FA4276">
              <w:rPr>
                <w:sz w:val="24"/>
                <w:szCs w:val="24"/>
              </w:rPr>
              <w:t>, 3</w:t>
            </w:r>
          </w:p>
        </w:tc>
        <w:tc>
          <w:tcPr>
            <w:tcW w:w="3827" w:type="dxa"/>
            <w:vAlign w:val="center"/>
          </w:tcPr>
          <w:p w:rsidR="00FA4276" w:rsidRPr="00FA4276" w:rsidRDefault="00FA4276" w:rsidP="00FA4276">
            <w:pPr>
              <w:jc w:val="center"/>
              <w:rPr>
                <w:sz w:val="24"/>
                <w:szCs w:val="24"/>
              </w:rPr>
            </w:pPr>
            <w:r w:rsidRPr="00FA4276">
              <w:rPr>
                <w:sz w:val="24"/>
                <w:szCs w:val="24"/>
              </w:rPr>
              <w:t>56ZS13A0Q5XBC01O</w:t>
            </w:r>
          </w:p>
        </w:tc>
      </w:tr>
      <w:tr w:rsidR="00FA4276" w:rsidRPr="00FA4276" w:rsidTr="00FA4276">
        <w:trPr>
          <w:trHeight w:val="177"/>
          <w:jc w:val="center"/>
        </w:trPr>
        <w:tc>
          <w:tcPr>
            <w:tcW w:w="5524" w:type="dxa"/>
            <w:vAlign w:val="center"/>
          </w:tcPr>
          <w:p w:rsidR="00FA4276" w:rsidRPr="00FA4276" w:rsidRDefault="00FA4276" w:rsidP="00FA4276">
            <w:pPr>
              <w:jc w:val="center"/>
              <w:rPr>
                <w:sz w:val="24"/>
                <w:szCs w:val="24"/>
              </w:rPr>
            </w:pPr>
            <w:r w:rsidRPr="00FA4276">
              <w:rPr>
                <w:sz w:val="24"/>
                <w:szCs w:val="24"/>
              </w:rPr>
              <w:t xml:space="preserve">м. Тячів, вул. </w:t>
            </w:r>
            <w:proofErr w:type="spellStart"/>
            <w:r w:rsidRPr="00FA4276">
              <w:rPr>
                <w:sz w:val="24"/>
                <w:szCs w:val="24"/>
              </w:rPr>
              <w:t>Незалежностi</w:t>
            </w:r>
            <w:proofErr w:type="spellEnd"/>
            <w:r w:rsidRPr="00FA4276">
              <w:rPr>
                <w:sz w:val="24"/>
                <w:szCs w:val="24"/>
              </w:rPr>
              <w:t>, 120</w:t>
            </w:r>
          </w:p>
        </w:tc>
        <w:tc>
          <w:tcPr>
            <w:tcW w:w="3827" w:type="dxa"/>
            <w:vAlign w:val="center"/>
          </w:tcPr>
          <w:p w:rsidR="00FA4276" w:rsidRPr="00FA4276" w:rsidRDefault="00FA4276" w:rsidP="00FA4276">
            <w:pPr>
              <w:jc w:val="center"/>
              <w:rPr>
                <w:sz w:val="24"/>
                <w:szCs w:val="24"/>
              </w:rPr>
            </w:pPr>
            <w:r w:rsidRPr="00FA4276">
              <w:rPr>
                <w:sz w:val="24"/>
                <w:szCs w:val="24"/>
              </w:rPr>
              <w:t>56ZS13E0Q5XBC01L</w:t>
            </w:r>
          </w:p>
        </w:tc>
      </w:tr>
      <w:tr w:rsidR="00FA4276" w:rsidRPr="00FA4276" w:rsidTr="00FA4276">
        <w:trPr>
          <w:trHeight w:val="70"/>
          <w:jc w:val="center"/>
        </w:trPr>
        <w:tc>
          <w:tcPr>
            <w:tcW w:w="5524" w:type="dxa"/>
            <w:vAlign w:val="center"/>
          </w:tcPr>
          <w:p w:rsidR="00FA4276" w:rsidRPr="00FA4276" w:rsidRDefault="00FA4276" w:rsidP="00FA4276">
            <w:pPr>
              <w:jc w:val="center"/>
              <w:rPr>
                <w:sz w:val="24"/>
                <w:szCs w:val="24"/>
              </w:rPr>
            </w:pPr>
            <w:r w:rsidRPr="00FA4276">
              <w:rPr>
                <w:sz w:val="24"/>
                <w:szCs w:val="24"/>
              </w:rPr>
              <w:t>м. Воловець, вул. Зарічна, 1</w:t>
            </w:r>
          </w:p>
        </w:tc>
        <w:tc>
          <w:tcPr>
            <w:tcW w:w="3827" w:type="dxa"/>
            <w:vAlign w:val="center"/>
          </w:tcPr>
          <w:p w:rsidR="00FA4276" w:rsidRPr="00FA4276" w:rsidRDefault="00FA4276" w:rsidP="00FA4276">
            <w:pPr>
              <w:jc w:val="center"/>
              <w:rPr>
                <w:sz w:val="24"/>
                <w:szCs w:val="24"/>
              </w:rPr>
            </w:pPr>
            <w:r w:rsidRPr="00FA4276">
              <w:rPr>
                <w:sz w:val="24"/>
                <w:szCs w:val="24"/>
              </w:rPr>
              <w:t>56ZS13C0Q5XBC014</w:t>
            </w:r>
          </w:p>
        </w:tc>
      </w:tr>
      <w:tr w:rsidR="00FA4276" w:rsidRPr="00FA4276" w:rsidTr="00FA4276">
        <w:trPr>
          <w:trHeight w:val="273"/>
          <w:jc w:val="center"/>
        </w:trPr>
        <w:tc>
          <w:tcPr>
            <w:tcW w:w="5524" w:type="dxa"/>
            <w:vAlign w:val="center"/>
          </w:tcPr>
          <w:p w:rsidR="00FA4276" w:rsidRPr="00FA4276" w:rsidRDefault="00FA4276" w:rsidP="00FA4276">
            <w:pPr>
              <w:jc w:val="center"/>
              <w:rPr>
                <w:sz w:val="24"/>
                <w:szCs w:val="24"/>
              </w:rPr>
            </w:pPr>
            <w:r w:rsidRPr="00FA4276">
              <w:rPr>
                <w:sz w:val="24"/>
                <w:szCs w:val="24"/>
              </w:rPr>
              <w:t>смт. Велики</w:t>
            </w:r>
            <w:r w:rsidR="00AC650D">
              <w:rPr>
                <w:sz w:val="24"/>
                <w:szCs w:val="24"/>
              </w:rPr>
              <w:t xml:space="preserve">й </w:t>
            </w:r>
            <w:proofErr w:type="spellStart"/>
            <w:r w:rsidR="00AC650D">
              <w:rPr>
                <w:sz w:val="24"/>
                <w:szCs w:val="24"/>
              </w:rPr>
              <w:t>Березний</w:t>
            </w:r>
            <w:proofErr w:type="spellEnd"/>
            <w:r w:rsidR="00AC650D">
              <w:rPr>
                <w:sz w:val="24"/>
                <w:szCs w:val="24"/>
              </w:rPr>
              <w:t>, вул. Шевченка</w:t>
            </w:r>
            <w:r w:rsidRPr="00FA4276">
              <w:rPr>
                <w:sz w:val="24"/>
                <w:szCs w:val="24"/>
              </w:rPr>
              <w:t>, 22</w:t>
            </w:r>
          </w:p>
        </w:tc>
        <w:tc>
          <w:tcPr>
            <w:tcW w:w="3827" w:type="dxa"/>
            <w:vAlign w:val="center"/>
          </w:tcPr>
          <w:p w:rsidR="00FA4276" w:rsidRPr="00FA4276" w:rsidRDefault="00FA4276" w:rsidP="00FA4276">
            <w:pPr>
              <w:jc w:val="center"/>
              <w:rPr>
                <w:sz w:val="24"/>
                <w:szCs w:val="24"/>
              </w:rPr>
            </w:pPr>
            <w:r w:rsidRPr="00FA4276">
              <w:rPr>
                <w:sz w:val="24"/>
                <w:szCs w:val="24"/>
              </w:rPr>
              <w:t>56ZS13D0Q5XBC01V</w:t>
            </w:r>
          </w:p>
        </w:tc>
      </w:tr>
      <w:tr w:rsidR="00FA4276" w:rsidRPr="00FA4276" w:rsidTr="00FA4276">
        <w:trPr>
          <w:trHeight w:val="273"/>
          <w:jc w:val="center"/>
        </w:trPr>
        <w:tc>
          <w:tcPr>
            <w:tcW w:w="5524" w:type="dxa"/>
            <w:vAlign w:val="center"/>
          </w:tcPr>
          <w:p w:rsidR="00FA4276" w:rsidRPr="00FA4276" w:rsidRDefault="00FA4276" w:rsidP="00FA4276">
            <w:pPr>
              <w:jc w:val="center"/>
              <w:rPr>
                <w:sz w:val="24"/>
                <w:szCs w:val="24"/>
              </w:rPr>
            </w:pPr>
            <w:r w:rsidRPr="00FA4276">
              <w:rPr>
                <w:sz w:val="24"/>
                <w:szCs w:val="24"/>
              </w:rPr>
              <w:t>смт</w:t>
            </w:r>
            <w:r w:rsidR="00AC650D">
              <w:rPr>
                <w:sz w:val="24"/>
                <w:szCs w:val="24"/>
              </w:rPr>
              <w:t>. Міжгір'я, вул. Шевченка</w:t>
            </w:r>
            <w:r w:rsidRPr="00FA4276">
              <w:rPr>
                <w:sz w:val="24"/>
                <w:szCs w:val="24"/>
              </w:rPr>
              <w:t>, 99</w:t>
            </w:r>
          </w:p>
        </w:tc>
        <w:tc>
          <w:tcPr>
            <w:tcW w:w="3827" w:type="dxa"/>
            <w:vAlign w:val="center"/>
          </w:tcPr>
          <w:p w:rsidR="00FA4276" w:rsidRPr="00FA4276" w:rsidRDefault="00FA4276" w:rsidP="00FA4276">
            <w:pPr>
              <w:jc w:val="center"/>
              <w:rPr>
                <w:sz w:val="24"/>
                <w:szCs w:val="24"/>
              </w:rPr>
            </w:pPr>
            <w:r w:rsidRPr="00FA4276">
              <w:rPr>
                <w:sz w:val="24"/>
                <w:szCs w:val="24"/>
              </w:rPr>
              <w:t>56ZS13E0Q5XBC03H</w:t>
            </w:r>
          </w:p>
        </w:tc>
      </w:tr>
      <w:tr w:rsidR="00FA4276" w:rsidRPr="00FA4276" w:rsidTr="00FA4276">
        <w:trPr>
          <w:trHeight w:val="64"/>
          <w:jc w:val="center"/>
        </w:trPr>
        <w:tc>
          <w:tcPr>
            <w:tcW w:w="5524" w:type="dxa"/>
            <w:vAlign w:val="center"/>
          </w:tcPr>
          <w:p w:rsidR="00FA4276" w:rsidRPr="00FA4276" w:rsidRDefault="00AC650D" w:rsidP="00FA4276">
            <w:pPr>
              <w:jc w:val="center"/>
              <w:rPr>
                <w:sz w:val="24"/>
                <w:szCs w:val="24"/>
              </w:rPr>
            </w:pPr>
            <w:r>
              <w:rPr>
                <w:sz w:val="24"/>
                <w:szCs w:val="24"/>
              </w:rPr>
              <w:t>м. Мукачеве, вул. Андрія Літуна, 13</w:t>
            </w:r>
            <w:r w:rsidR="00FA4276">
              <w:rPr>
                <w:sz w:val="24"/>
                <w:szCs w:val="24"/>
              </w:rPr>
              <w:t xml:space="preserve"> </w:t>
            </w:r>
            <w:r w:rsidR="00FA4276" w:rsidRPr="00FA4276">
              <w:rPr>
                <w:sz w:val="24"/>
                <w:szCs w:val="24"/>
              </w:rPr>
              <w:t>А</w:t>
            </w:r>
          </w:p>
        </w:tc>
        <w:tc>
          <w:tcPr>
            <w:tcW w:w="3827" w:type="dxa"/>
            <w:vAlign w:val="center"/>
          </w:tcPr>
          <w:p w:rsidR="00FA4276" w:rsidRPr="00FA4276" w:rsidRDefault="00FA4276" w:rsidP="00FA4276">
            <w:pPr>
              <w:jc w:val="center"/>
              <w:rPr>
                <w:sz w:val="24"/>
                <w:szCs w:val="24"/>
              </w:rPr>
            </w:pPr>
            <w:r w:rsidRPr="00FA4276">
              <w:rPr>
                <w:sz w:val="24"/>
                <w:szCs w:val="24"/>
              </w:rPr>
              <w:t>56ZS13B0Q5XBC01E</w:t>
            </w:r>
          </w:p>
        </w:tc>
      </w:tr>
      <w:tr w:rsidR="00FA4276" w:rsidRPr="00FA4276" w:rsidTr="00FA4276">
        <w:trPr>
          <w:trHeight w:val="147"/>
          <w:jc w:val="center"/>
        </w:trPr>
        <w:tc>
          <w:tcPr>
            <w:tcW w:w="5524" w:type="dxa"/>
            <w:vAlign w:val="center"/>
          </w:tcPr>
          <w:p w:rsidR="00FA4276" w:rsidRPr="00FA4276" w:rsidRDefault="00FA4276" w:rsidP="00FA4276">
            <w:pPr>
              <w:jc w:val="center"/>
              <w:rPr>
                <w:sz w:val="24"/>
                <w:szCs w:val="24"/>
              </w:rPr>
            </w:pPr>
            <w:r w:rsidRPr="00FA4276">
              <w:rPr>
                <w:sz w:val="24"/>
                <w:szCs w:val="24"/>
              </w:rPr>
              <w:t>м. Мука</w:t>
            </w:r>
            <w:r w:rsidR="00AC650D">
              <w:rPr>
                <w:sz w:val="24"/>
                <w:szCs w:val="24"/>
              </w:rPr>
              <w:t xml:space="preserve">чеве, вул. Мостова, 8 </w:t>
            </w:r>
          </w:p>
        </w:tc>
        <w:tc>
          <w:tcPr>
            <w:tcW w:w="3827" w:type="dxa"/>
            <w:vAlign w:val="center"/>
          </w:tcPr>
          <w:p w:rsidR="00FA4276" w:rsidRPr="00FA4276" w:rsidRDefault="00FA4276" w:rsidP="00FA4276">
            <w:pPr>
              <w:jc w:val="center"/>
              <w:rPr>
                <w:sz w:val="24"/>
                <w:szCs w:val="24"/>
              </w:rPr>
            </w:pPr>
            <w:r w:rsidRPr="00FA4276">
              <w:rPr>
                <w:sz w:val="24"/>
                <w:szCs w:val="24"/>
              </w:rPr>
              <w:t>56ZS13B0Q5XBC02C</w:t>
            </w:r>
          </w:p>
        </w:tc>
      </w:tr>
      <w:tr w:rsidR="00FA4276" w:rsidRPr="00FA4276" w:rsidTr="00FA4276">
        <w:trPr>
          <w:trHeight w:val="64"/>
          <w:jc w:val="center"/>
        </w:trPr>
        <w:tc>
          <w:tcPr>
            <w:tcW w:w="5524" w:type="dxa"/>
            <w:vAlign w:val="center"/>
          </w:tcPr>
          <w:p w:rsidR="00FA4276" w:rsidRPr="00FA4276" w:rsidRDefault="00FA4276" w:rsidP="00FA4276">
            <w:pPr>
              <w:jc w:val="center"/>
              <w:rPr>
                <w:sz w:val="24"/>
                <w:szCs w:val="24"/>
              </w:rPr>
            </w:pPr>
            <w:r w:rsidRPr="00FA4276">
              <w:rPr>
                <w:sz w:val="24"/>
                <w:szCs w:val="24"/>
              </w:rPr>
              <w:t xml:space="preserve">м. Хуст, </w:t>
            </w:r>
            <w:r w:rsidR="00AC650D">
              <w:rPr>
                <w:sz w:val="24"/>
                <w:szCs w:val="24"/>
              </w:rPr>
              <w:t>вул. Івана Франка</w:t>
            </w:r>
            <w:bookmarkStart w:id="1" w:name="_GoBack"/>
            <w:bookmarkEnd w:id="1"/>
            <w:r w:rsidRPr="00FA4276">
              <w:rPr>
                <w:sz w:val="24"/>
                <w:szCs w:val="24"/>
              </w:rPr>
              <w:t>, 18</w:t>
            </w:r>
          </w:p>
        </w:tc>
        <w:tc>
          <w:tcPr>
            <w:tcW w:w="3827" w:type="dxa"/>
            <w:vAlign w:val="center"/>
          </w:tcPr>
          <w:p w:rsidR="00FA4276" w:rsidRPr="00FA4276" w:rsidRDefault="00FA4276" w:rsidP="00FA4276">
            <w:pPr>
              <w:jc w:val="center"/>
              <w:rPr>
                <w:sz w:val="24"/>
                <w:szCs w:val="24"/>
              </w:rPr>
            </w:pPr>
            <w:r w:rsidRPr="00FA4276">
              <w:rPr>
                <w:sz w:val="24"/>
                <w:szCs w:val="24"/>
              </w:rPr>
              <w:t>56ZS13E0Q5XBC02J</w:t>
            </w:r>
          </w:p>
        </w:tc>
      </w:tr>
      <w:tr w:rsidR="00FA4276" w:rsidRPr="00FA4276" w:rsidTr="00FA4276">
        <w:trPr>
          <w:trHeight w:val="64"/>
          <w:jc w:val="center"/>
        </w:trPr>
        <w:tc>
          <w:tcPr>
            <w:tcW w:w="5524" w:type="dxa"/>
            <w:vAlign w:val="center"/>
          </w:tcPr>
          <w:p w:rsidR="00FA4276" w:rsidRPr="00FA4276" w:rsidRDefault="00FA4276" w:rsidP="00FA4276">
            <w:pPr>
              <w:jc w:val="center"/>
              <w:rPr>
                <w:sz w:val="24"/>
                <w:szCs w:val="24"/>
              </w:rPr>
            </w:pPr>
            <w:r w:rsidRPr="00FA4276">
              <w:rPr>
                <w:sz w:val="24"/>
                <w:szCs w:val="24"/>
              </w:rPr>
              <w:t>м. Ужгород, вул. Загорська, 53</w:t>
            </w:r>
          </w:p>
        </w:tc>
        <w:tc>
          <w:tcPr>
            <w:tcW w:w="3827" w:type="dxa"/>
            <w:vAlign w:val="center"/>
          </w:tcPr>
          <w:p w:rsidR="00FA4276" w:rsidRPr="00FA4276" w:rsidRDefault="00FA4276" w:rsidP="00FA4276">
            <w:pPr>
              <w:jc w:val="center"/>
              <w:rPr>
                <w:sz w:val="24"/>
                <w:szCs w:val="24"/>
              </w:rPr>
            </w:pPr>
            <w:r w:rsidRPr="00FA4276">
              <w:rPr>
                <w:sz w:val="24"/>
                <w:szCs w:val="24"/>
              </w:rPr>
              <w:t>56ZS13D0Q5XBC02T</w:t>
            </w:r>
          </w:p>
        </w:tc>
      </w:tr>
      <w:tr w:rsidR="00FA4276" w:rsidRPr="00FA4276" w:rsidTr="00FA4276">
        <w:trPr>
          <w:trHeight w:val="288"/>
          <w:jc w:val="center"/>
        </w:trPr>
        <w:tc>
          <w:tcPr>
            <w:tcW w:w="5524" w:type="dxa"/>
            <w:vAlign w:val="center"/>
          </w:tcPr>
          <w:p w:rsidR="00FA4276" w:rsidRPr="00FA4276" w:rsidRDefault="00FA4276" w:rsidP="00FA4276">
            <w:pPr>
              <w:jc w:val="center"/>
              <w:rPr>
                <w:sz w:val="24"/>
                <w:szCs w:val="24"/>
              </w:rPr>
            </w:pPr>
            <w:r w:rsidRPr="00FA4276">
              <w:rPr>
                <w:sz w:val="24"/>
                <w:szCs w:val="24"/>
              </w:rPr>
              <w:t>м. Ужгород, вул. Загорська, 30</w:t>
            </w:r>
          </w:p>
        </w:tc>
        <w:tc>
          <w:tcPr>
            <w:tcW w:w="3827" w:type="dxa"/>
            <w:vAlign w:val="center"/>
          </w:tcPr>
          <w:p w:rsidR="00FA4276" w:rsidRPr="00FA4276" w:rsidRDefault="00FA4276" w:rsidP="00FA4276">
            <w:pPr>
              <w:jc w:val="center"/>
              <w:rPr>
                <w:sz w:val="24"/>
                <w:szCs w:val="24"/>
              </w:rPr>
            </w:pPr>
            <w:r w:rsidRPr="00FA4276">
              <w:rPr>
                <w:sz w:val="24"/>
                <w:szCs w:val="24"/>
              </w:rPr>
              <w:t>56ZS13D0Q5XBC03R</w:t>
            </w:r>
          </w:p>
        </w:tc>
      </w:tr>
      <w:tr w:rsidR="00FA4276" w:rsidRPr="00FA4276" w:rsidTr="00FA4276">
        <w:trPr>
          <w:trHeight w:val="273"/>
          <w:jc w:val="center"/>
        </w:trPr>
        <w:tc>
          <w:tcPr>
            <w:tcW w:w="5524" w:type="dxa"/>
            <w:vAlign w:val="center"/>
          </w:tcPr>
          <w:p w:rsidR="00FA4276" w:rsidRPr="00FA4276" w:rsidRDefault="00FA4276" w:rsidP="00FA4276">
            <w:pPr>
              <w:jc w:val="center"/>
              <w:rPr>
                <w:sz w:val="24"/>
                <w:szCs w:val="24"/>
              </w:rPr>
            </w:pPr>
            <w:r w:rsidRPr="00FA4276">
              <w:rPr>
                <w:sz w:val="24"/>
                <w:szCs w:val="24"/>
              </w:rPr>
              <w:t>м. Іршава, вул. Шевченка, 23</w:t>
            </w:r>
          </w:p>
        </w:tc>
        <w:tc>
          <w:tcPr>
            <w:tcW w:w="3827" w:type="dxa"/>
            <w:vAlign w:val="center"/>
          </w:tcPr>
          <w:p w:rsidR="00FA4276" w:rsidRPr="00FA4276" w:rsidRDefault="00FA4276" w:rsidP="00FA4276">
            <w:pPr>
              <w:jc w:val="center"/>
              <w:rPr>
                <w:sz w:val="24"/>
                <w:szCs w:val="24"/>
              </w:rPr>
            </w:pPr>
            <w:r w:rsidRPr="00FA4276">
              <w:rPr>
                <w:sz w:val="24"/>
                <w:szCs w:val="24"/>
              </w:rPr>
              <w:t>56ZS13C0Q5XBC022</w:t>
            </w:r>
          </w:p>
        </w:tc>
      </w:tr>
    </w:tbl>
    <w:p w:rsidR="00FA4276" w:rsidRDefault="00FA4276" w:rsidP="009F62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p>
    <w:p w:rsidR="00FA4276" w:rsidRDefault="00FA4276" w:rsidP="009F62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p>
    <w:p w:rsidR="009F62CA" w:rsidRPr="00A406EE" w:rsidRDefault="009F62CA" w:rsidP="009F62C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uk-UA"/>
        </w:rPr>
      </w:pPr>
      <w:r w:rsidRPr="00A406EE">
        <w:rPr>
          <w:rFonts w:ascii="Times New Roman" w:eastAsia="Times New Roman" w:hAnsi="Times New Roman" w:cs="Times New Roman"/>
          <w:sz w:val="24"/>
          <w:szCs w:val="24"/>
          <w:lang w:eastAsia="uk-UA"/>
        </w:rPr>
        <w:t xml:space="preserve">3. Строк поставки товару – </w:t>
      </w:r>
      <w:r w:rsidRPr="00A406EE">
        <w:rPr>
          <w:rFonts w:ascii="Times New Roman" w:eastAsia="Times New Roman" w:hAnsi="Times New Roman" w:cs="Times New Roman"/>
          <w:b/>
          <w:sz w:val="24"/>
          <w:szCs w:val="24"/>
          <w:lang w:eastAsia="ru-RU"/>
        </w:rPr>
        <w:t>період з 1 січня п</w:t>
      </w:r>
      <w:r w:rsidRPr="00A406EE">
        <w:rPr>
          <w:rFonts w:ascii="Times New Roman" w:eastAsia="Times New Roman" w:hAnsi="Times New Roman" w:cs="Times New Roman"/>
          <w:b/>
          <w:sz w:val="24"/>
          <w:szCs w:val="24"/>
          <w:lang w:eastAsia="uk-UA"/>
        </w:rPr>
        <w:t xml:space="preserve">о 31 березня 2023 року. </w:t>
      </w:r>
    </w:p>
    <w:p w:rsidR="009F62CA" w:rsidRPr="00A406EE" w:rsidRDefault="009F62CA" w:rsidP="009F62CA">
      <w:pPr>
        <w:spacing w:after="0" w:line="240" w:lineRule="auto"/>
        <w:ind w:firstLine="567"/>
        <w:jc w:val="both"/>
        <w:rPr>
          <w:rFonts w:ascii="Times New Roman" w:eastAsia="Times New Roman" w:hAnsi="Times New Roman" w:cs="Times New Roman"/>
          <w:sz w:val="24"/>
          <w:szCs w:val="24"/>
          <w:lang w:eastAsia="ru-RU"/>
        </w:rPr>
      </w:pPr>
      <w:r w:rsidRPr="00A406EE">
        <w:rPr>
          <w:rFonts w:ascii="Times New Roman" w:eastAsia="Times New Roman" w:hAnsi="Times New Roman" w:cs="Times New Roman"/>
          <w:sz w:val="24"/>
          <w:szCs w:val="24"/>
          <w:lang w:eastAsia="uk-UA"/>
        </w:rPr>
        <w:t xml:space="preserve">4. Якість товару – </w:t>
      </w:r>
      <w:r w:rsidRPr="00A406EE">
        <w:rPr>
          <w:rFonts w:ascii="Times New Roman" w:eastAsia="Times New Roman" w:hAnsi="Times New Roman" w:cs="Times New Roman"/>
          <w:sz w:val="24"/>
          <w:szCs w:val="24"/>
          <w:lang w:eastAsia="ru-RU"/>
        </w:rPr>
        <w:t>Якість природного газу, що постачається споживачу до меж балансової належності, повинна відповідати положенням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року № 2493 (зі змінами), положенням 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року № 2494 (зі змінами).</w:t>
      </w:r>
    </w:p>
    <w:p w:rsidR="009F62CA" w:rsidRPr="00A406EE" w:rsidRDefault="009F62CA" w:rsidP="009F62CA">
      <w:pPr>
        <w:spacing w:after="0" w:line="240" w:lineRule="auto"/>
        <w:ind w:firstLine="567"/>
        <w:jc w:val="both"/>
        <w:rPr>
          <w:rFonts w:ascii="Times New Roman" w:eastAsia="Times New Roman" w:hAnsi="Times New Roman" w:cs="Times New Roman"/>
          <w:sz w:val="24"/>
          <w:szCs w:val="24"/>
          <w:lang w:eastAsia="ru-RU"/>
        </w:rPr>
      </w:pPr>
      <w:r w:rsidRPr="00A406EE">
        <w:rPr>
          <w:rFonts w:ascii="Times New Roman" w:eastAsia="Times New Roman" w:hAnsi="Times New Roman" w:cs="Times New Roman"/>
          <w:sz w:val="24"/>
          <w:szCs w:val="24"/>
          <w:lang w:eastAsia="ru-RU"/>
        </w:rPr>
        <w:t xml:space="preserve">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w:t>
      </w:r>
      <w:proofErr w:type="spellStart"/>
      <w:r w:rsidRPr="00A406EE">
        <w:rPr>
          <w:rFonts w:ascii="Times New Roman" w:eastAsia="Times New Roman" w:hAnsi="Times New Roman" w:cs="Times New Roman"/>
          <w:sz w:val="24"/>
          <w:szCs w:val="24"/>
          <w:lang w:eastAsia="ru-RU"/>
        </w:rPr>
        <w:t>товщ</w:t>
      </w:r>
      <w:proofErr w:type="spellEnd"/>
      <w:r w:rsidRPr="00A406EE">
        <w:rPr>
          <w:rFonts w:ascii="Times New Roman" w:eastAsia="Times New Roman" w:hAnsi="Times New Roman" w:cs="Times New Roman"/>
          <w:sz w:val="24"/>
          <w:szCs w:val="24"/>
          <w:lang w:eastAsia="ru-RU"/>
        </w:rPr>
        <w:t>,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9F62CA" w:rsidRPr="00A406EE" w:rsidRDefault="009F62CA" w:rsidP="009F62CA">
      <w:pPr>
        <w:spacing w:after="0" w:line="240" w:lineRule="auto"/>
        <w:ind w:firstLine="567"/>
        <w:jc w:val="both"/>
        <w:rPr>
          <w:rFonts w:ascii="Times New Roman" w:eastAsia="Times New Roman" w:hAnsi="Times New Roman" w:cs="Times New Roman"/>
          <w:sz w:val="24"/>
          <w:szCs w:val="24"/>
          <w:lang w:eastAsia="ru-RU"/>
        </w:rPr>
      </w:pPr>
      <w:r w:rsidRPr="00A406EE">
        <w:rPr>
          <w:rFonts w:ascii="Times New Roman" w:eastAsia="Times New Roman" w:hAnsi="Times New Roman" w:cs="Times New Roman"/>
          <w:bCs/>
          <w:sz w:val="24"/>
          <w:szCs w:val="24"/>
          <w:lang w:eastAsia="ru-RU"/>
        </w:rPr>
        <w:t xml:space="preserve">Якість природного газу – </w:t>
      </w:r>
      <w:r w:rsidRPr="00A406EE">
        <w:rPr>
          <w:rFonts w:ascii="Times New Roman" w:eastAsia="Times New Roman" w:hAnsi="Times New Roman" w:cs="Times New Roman"/>
          <w:sz w:val="24"/>
          <w:szCs w:val="24"/>
          <w:lang w:eastAsia="ru-RU"/>
        </w:rPr>
        <w:t>це відповідність значень його фізико-хімічних показників, встановлених нормативними документами.</w:t>
      </w:r>
    </w:p>
    <w:p w:rsidR="009F62CA" w:rsidRPr="00A406EE" w:rsidRDefault="009F62CA" w:rsidP="009F62CA">
      <w:pPr>
        <w:spacing w:after="0" w:line="240" w:lineRule="auto"/>
        <w:ind w:firstLine="567"/>
        <w:jc w:val="both"/>
        <w:rPr>
          <w:rFonts w:ascii="Times New Roman" w:eastAsia="Times New Roman" w:hAnsi="Times New Roman" w:cs="Times New Roman"/>
          <w:sz w:val="24"/>
          <w:szCs w:val="24"/>
          <w:lang w:eastAsia="ru-RU"/>
        </w:rPr>
      </w:pPr>
      <w:r w:rsidRPr="00A406EE">
        <w:rPr>
          <w:rFonts w:ascii="Times New Roman" w:eastAsia="Times New Roman" w:hAnsi="Times New Roman" w:cs="Times New Roman"/>
          <w:color w:val="000000"/>
          <w:sz w:val="24"/>
          <w:szCs w:val="24"/>
          <w:lang w:eastAsia="ru-RU"/>
        </w:rPr>
        <w:t xml:space="preserve">Якість природного газу повинна відповідати вимогам </w:t>
      </w:r>
      <w:r w:rsidRPr="00A406EE">
        <w:rPr>
          <w:rFonts w:ascii="Times New Roman" w:eastAsia="Times New Roman" w:hAnsi="Times New Roman" w:cs="Times New Roman"/>
          <w:sz w:val="24"/>
          <w:szCs w:val="24"/>
          <w:lang w:eastAsia="ru-RU"/>
        </w:rPr>
        <w:t>ГОСТ 5542-87 «Гази горючі природні для промислового і комунально-побутового призначення. Технічні умови». Якість природного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9F62CA" w:rsidRPr="00A406EE" w:rsidRDefault="009F62CA" w:rsidP="009F62CA">
      <w:pPr>
        <w:shd w:val="clear" w:color="auto" w:fill="FFFFFF"/>
        <w:suppressAutoHyphens/>
        <w:spacing w:after="0" w:line="240" w:lineRule="auto"/>
        <w:ind w:firstLine="567"/>
        <w:jc w:val="both"/>
        <w:rPr>
          <w:rFonts w:ascii="Times New Roman" w:eastAsia="Times New Roman" w:hAnsi="Times New Roman" w:cs="Times New Roman"/>
          <w:b/>
          <w:sz w:val="24"/>
          <w:szCs w:val="24"/>
          <w:lang w:eastAsia="ru-RU"/>
        </w:rPr>
      </w:pPr>
      <w:r w:rsidRPr="00A406EE">
        <w:rPr>
          <w:rFonts w:ascii="Times New Roman" w:eastAsia="Times New Roman" w:hAnsi="Times New Roman" w:cs="Times New Roman"/>
          <w:b/>
          <w:sz w:val="24"/>
          <w:szCs w:val="24"/>
          <w:lang w:eastAsia="ru-RU"/>
        </w:rPr>
        <w:t>Умови постачання природного газу замовнику повинні відповідати наступним нормативно-правовим актам:</w:t>
      </w:r>
    </w:p>
    <w:p w:rsidR="009F62CA" w:rsidRPr="00A406EE" w:rsidRDefault="009F62CA" w:rsidP="009F62CA">
      <w:pPr>
        <w:numPr>
          <w:ilvl w:val="0"/>
          <w:numId w:val="1"/>
        </w:numPr>
        <w:shd w:val="clear" w:color="auto" w:fill="FFFFFF"/>
        <w:tabs>
          <w:tab w:val="left" w:pos="360"/>
        </w:tabs>
        <w:suppressAutoHyphens/>
        <w:spacing w:after="0" w:line="240" w:lineRule="auto"/>
        <w:jc w:val="both"/>
        <w:rPr>
          <w:rFonts w:ascii="Times New Roman" w:eastAsia="Times New Roman" w:hAnsi="Times New Roman" w:cs="Times New Roman"/>
          <w:sz w:val="24"/>
          <w:szCs w:val="24"/>
          <w:lang w:eastAsia="ru-RU"/>
        </w:rPr>
      </w:pPr>
      <w:r w:rsidRPr="00A406EE">
        <w:rPr>
          <w:rFonts w:ascii="Times New Roman" w:eastAsia="Times New Roman" w:hAnsi="Times New Roman" w:cs="Times New Roman"/>
          <w:sz w:val="24"/>
          <w:szCs w:val="24"/>
          <w:lang w:eastAsia="ru-RU"/>
        </w:rPr>
        <w:t>Закону України «Про ринок природного газу» від 09.04.2015 року №329-VIII (зі змінами);</w:t>
      </w:r>
    </w:p>
    <w:p w:rsidR="009F62CA" w:rsidRPr="00A406EE" w:rsidRDefault="009F62CA" w:rsidP="009F62CA">
      <w:pPr>
        <w:numPr>
          <w:ilvl w:val="0"/>
          <w:numId w:val="1"/>
        </w:numPr>
        <w:shd w:val="clear" w:color="auto" w:fill="FFFFFF"/>
        <w:tabs>
          <w:tab w:val="left" w:pos="360"/>
        </w:tabs>
        <w:suppressAutoHyphens/>
        <w:spacing w:after="0" w:line="240" w:lineRule="auto"/>
        <w:jc w:val="both"/>
        <w:rPr>
          <w:rFonts w:ascii="Times New Roman" w:eastAsia="Times New Roman" w:hAnsi="Times New Roman" w:cs="Times New Roman"/>
          <w:sz w:val="24"/>
          <w:szCs w:val="24"/>
          <w:lang w:eastAsia="ru-RU"/>
        </w:rPr>
      </w:pPr>
      <w:r w:rsidRPr="00A406EE">
        <w:rPr>
          <w:rFonts w:ascii="Times New Roman" w:eastAsia="Times New Roman" w:hAnsi="Times New Roman" w:cs="Times New Roman"/>
          <w:sz w:val="24"/>
          <w:szCs w:val="24"/>
          <w:lang w:eastAsia="ru-RU"/>
        </w:rPr>
        <w:t>Постанові Національної комісії, що здійснює державне регулювання у сферах енергетики та комунальних послуг, від 30.09.2015 року №2496 «Про затвердження Правил постачання природного газу» (зі змінами,);</w:t>
      </w:r>
    </w:p>
    <w:p w:rsidR="009F62CA" w:rsidRPr="00A406EE" w:rsidRDefault="009F62CA" w:rsidP="009F62CA">
      <w:pPr>
        <w:numPr>
          <w:ilvl w:val="0"/>
          <w:numId w:val="1"/>
        </w:numPr>
        <w:shd w:val="clear" w:color="auto" w:fill="FFFFFF"/>
        <w:tabs>
          <w:tab w:val="left" w:pos="360"/>
        </w:tabs>
        <w:suppressAutoHyphens/>
        <w:spacing w:after="0" w:line="240" w:lineRule="auto"/>
        <w:jc w:val="both"/>
        <w:rPr>
          <w:rFonts w:ascii="Times New Roman" w:eastAsia="Times New Roman" w:hAnsi="Times New Roman" w:cs="Times New Roman"/>
          <w:sz w:val="24"/>
          <w:szCs w:val="24"/>
          <w:lang w:eastAsia="ru-RU"/>
        </w:rPr>
      </w:pPr>
      <w:r w:rsidRPr="00A406EE">
        <w:rPr>
          <w:rFonts w:ascii="Times New Roman" w:eastAsia="Times New Roman" w:hAnsi="Times New Roman" w:cs="Times New Roman"/>
          <w:sz w:val="24"/>
          <w:szCs w:val="24"/>
          <w:lang w:eastAsia="ru-RU"/>
        </w:rPr>
        <w:t>Наказу Міністерства палива та енергетики України від 27.12.2005 р № 618 «Про затвердження Правил обліку природного газу під час його транспортування газорозподільними мережами, постачання та споживання» (зі змінами);</w:t>
      </w:r>
    </w:p>
    <w:p w:rsidR="009F62CA" w:rsidRPr="00A406EE" w:rsidRDefault="009F62CA" w:rsidP="009F62CA">
      <w:pPr>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A406EE">
        <w:rPr>
          <w:rFonts w:ascii="Times New Roman" w:eastAsia="Times New Roman" w:hAnsi="Times New Roman" w:cs="Times New Roman"/>
          <w:sz w:val="24"/>
          <w:szCs w:val="24"/>
          <w:lang w:eastAsia="ru-RU"/>
        </w:rPr>
        <w:lastRenderedPageBreak/>
        <w:t>„Кодексу газорозподільних систем”, затвердженим Постановою НКРЕКП від 30.09.2015 року № 2494;</w:t>
      </w:r>
    </w:p>
    <w:p w:rsidR="009F62CA" w:rsidRPr="00A406EE" w:rsidRDefault="009F62CA" w:rsidP="009F62CA">
      <w:pPr>
        <w:numPr>
          <w:ilvl w:val="0"/>
          <w:numId w:val="1"/>
        </w:numPr>
        <w:spacing w:after="0" w:line="240" w:lineRule="auto"/>
        <w:jc w:val="both"/>
        <w:textAlignment w:val="baseline"/>
        <w:rPr>
          <w:rFonts w:ascii="Times New Roman" w:eastAsia="Times New Roman" w:hAnsi="Times New Roman" w:cs="Times New Roman"/>
          <w:sz w:val="24"/>
          <w:szCs w:val="24"/>
          <w:lang w:eastAsia="ru-RU"/>
        </w:rPr>
      </w:pPr>
      <w:r w:rsidRPr="00A406EE">
        <w:rPr>
          <w:rFonts w:ascii="Times New Roman" w:eastAsia="Times New Roman" w:hAnsi="Times New Roman" w:cs="Times New Roman"/>
          <w:sz w:val="24"/>
          <w:szCs w:val="24"/>
          <w:lang w:eastAsia="ru-RU"/>
        </w:rPr>
        <w:t>„Кодексу газотранспортної системи”, затвердженим Постановою НКРЕКП від 30.09.2015 року № 2493;</w:t>
      </w:r>
    </w:p>
    <w:p w:rsidR="009F62CA" w:rsidRPr="00A406EE" w:rsidRDefault="009F62CA" w:rsidP="009F62CA">
      <w:pPr>
        <w:numPr>
          <w:ilvl w:val="0"/>
          <w:numId w:val="1"/>
        </w:numPr>
        <w:spacing w:after="0" w:line="240" w:lineRule="auto"/>
        <w:jc w:val="both"/>
        <w:rPr>
          <w:rFonts w:ascii="Times New Roman" w:eastAsia="Times New Roman" w:hAnsi="Times New Roman" w:cs="Times New Roman"/>
          <w:sz w:val="24"/>
          <w:szCs w:val="24"/>
          <w:lang w:eastAsia="ru-RU"/>
        </w:rPr>
      </w:pPr>
      <w:r w:rsidRPr="00A406EE">
        <w:rPr>
          <w:rFonts w:ascii="Times New Roman" w:eastAsia="Times New Roman" w:hAnsi="Times New Roman" w:cs="Times New Roman"/>
          <w:sz w:val="24"/>
          <w:szCs w:val="24"/>
          <w:lang w:eastAsia="ru-RU"/>
        </w:rPr>
        <w:t>іншим нормативно-правовим актам, прийнятими на виконання Закону України «Про ринок природного газу» від 09.04.2015 року №329-VIII (зі змінами).</w:t>
      </w:r>
    </w:p>
    <w:p w:rsidR="009F62CA" w:rsidRPr="00A406EE" w:rsidRDefault="009F62CA" w:rsidP="009F62CA">
      <w:pPr>
        <w:spacing w:after="0" w:line="240" w:lineRule="auto"/>
        <w:ind w:firstLine="540"/>
        <w:jc w:val="both"/>
        <w:rPr>
          <w:rFonts w:ascii="Times New Roman" w:eastAsia="Times New Roman" w:hAnsi="Times New Roman" w:cs="Times New Roman"/>
          <w:sz w:val="24"/>
          <w:szCs w:val="24"/>
          <w:lang w:eastAsia="ru-RU"/>
        </w:rPr>
      </w:pPr>
      <w:r w:rsidRPr="00A406EE">
        <w:rPr>
          <w:rFonts w:ascii="Times New Roman" w:eastAsia="Times New Roman" w:hAnsi="Times New Roman" w:cs="Times New Roman"/>
          <w:sz w:val="24"/>
          <w:szCs w:val="24"/>
          <w:lang w:eastAsia="ru-RU"/>
        </w:rPr>
        <w:t>5.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9F62CA" w:rsidRPr="00A406EE" w:rsidRDefault="009F62CA" w:rsidP="009F62CA">
      <w:pPr>
        <w:spacing w:after="0" w:line="240" w:lineRule="auto"/>
        <w:ind w:firstLine="540"/>
        <w:jc w:val="both"/>
        <w:rPr>
          <w:rFonts w:ascii="Times New Roman" w:eastAsia="Times New Roman" w:hAnsi="Times New Roman" w:cs="Times New Roman"/>
          <w:sz w:val="24"/>
          <w:szCs w:val="24"/>
          <w:lang w:eastAsia="ru-RU"/>
        </w:rPr>
      </w:pPr>
      <w:r w:rsidRPr="00A406EE">
        <w:rPr>
          <w:rFonts w:ascii="Times New Roman" w:eastAsia="Times New Roman" w:hAnsi="Times New Roman" w:cs="Times New Roman"/>
          <w:sz w:val="24"/>
          <w:szCs w:val="24"/>
          <w:lang w:eastAsia="ru-RU"/>
        </w:rPr>
        <w:t xml:space="preserve">6. </w:t>
      </w:r>
      <w:r w:rsidRPr="00A406EE">
        <w:rPr>
          <w:rFonts w:ascii="Times New Roman" w:eastAsia="Times New Roman" w:hAnsi="Times New Roman" w:cs="Times New Roman CYR"/>
          <w:color w:val="000000"/>
          <w:sz w:val="24"/>
          <w:szCs w:val="24"/>
          <w:lang w:eastAsia="ru-RU"/>
        </w:rPr>
        <w:t xml:space="preserve">Учасники процедури закупівлі повинні надати в електронному (сканованому в форматі </w:t>
      </w:r>
      <w:proofErr w:type="spellStart"/>
      <w:r w:rsidRPr="00A406EE">
        <w:rPr>
          <w:rFonts w:ascii="Times New Roman" w:eastAsia="Times New Roman" w:hAnsi="Times New Roman" w:cs="Times New Roman CYR"/>
          <w:color w:val="000000"/>
          <w:sz w:val="24"/>
          <w:szCs w:val="24"/>
          <w:lang w:eastAsia="ru-RU"/>
        </w:rPr>
        <w:t>pdf</w:t>
      </w:r>
      <w:proofErr w:type="spellEnd"/>
      <w:r w:rsidRPr="00A406EE">
        <w:rPr>
          <w:rFonts w:ascii="Times New Roman" w:eastAsia="Times New Roman" w:hAnsi="Times New Roman" w:cs="Times New Roman CYR"/>
          <w:color w:val="000000"/>
          <w:sz w:val="24"/>
          <w:szCs w:val="24"/>
          <w:lang w:eastAsia="ru-RU"/>
        </w:rPr>
        <w:t xml:space="preserve">) вигляді в складі тендерної пропозицій </w:t>
      </w:r>
      <w:r w:rsidRPr="00A406EE">
        <w:rPr>
          <w:rFonts w:ascii="Times New Roman" w:eastAsia="Times New Roman" w:hAnsi="Times New Roman" w:cs="Times New Roman CYR"/>
          <w:b/>
          <w:color w:val="000000"/>
          <w:sz w:val="24"/>
          <w:szCs w:val="24"/>
          <w:lang w:eastAsia="ru-RU"/>
        </w:rPr>
        <w:t>документи,</w:t>
      </w:r>
      <w:r w:rsidRPr="00A406EE">
        <w:rPr>
          <w:rFonts w:ascii="Times New Roman" w:eastAsia="Times New Roman" w:hAnsi="Times New Roman" w:cs="Times New Roman CYR"/>
          <w:color w:val="000000"/>
          <w:sz w:val="24"/>
          <w:szCs w:val="24"/>
          <w:lang w:eastAsia="ru-RU"/>
        </w:rPr>
        <w:t xml:space="preserve"> які підтверджують відповідність тендерної пропозиції учасника вказаним технічним, якісним, кількісним та іншим вимогам до предмета закупівлі.</w:t>
      </w:r>
    </w:p>
    <w:p w:rsidR="009F62CA" w:rsidRPr="00A406EE" w:rsidRDefault="009F62CA" w:rsidP="009F62CA">
      <w:pPr>
        <w:spacing w:after="0" w:line="240" w:lineRule="auto"/>
        <w:ind w:firstLine="567"/>
        <w:jc w:val="both"/>
        <w:rPr>
          <w:rFonts w:ascii="Times New Roman" w:eastAsia="Times New Roman" w:hAnsi="Times New Roman" w:cs="Times New Roman"/>
          <w:sz w:val="24"/>
          <w:szCs w:val="24"/>
          <w:lang w:eastAsia="ru-RU"/>
        </w:rPr>
      </w:pPr>
      <w:r w:rsidRPr="00A406EE">
        <w:rPr>
          <w:rFonts w:ascii="Times New Roman" w:eastAsia="Times New Roman" w:hAnsi="Times New Roman" w:cs="Times New Roman"/>
          <w:sz w:val="24"/>
          <w:szCs w:val="24"/>
          <w:lang w:eastAsia="ru-RU"/>
        </w:rPr>
        <w:t xml:space="preserve">7. Учасник повинен надати </w:t>
      </w:r>
      <w:r w:rsidRPr="00A406EE">
        <w:rPr>
          <w:rFonts w:ascii="Times New Roman" w:eastAsia="Times New Roman" w:hAnsi="Times New Roman" w:cs="Times New Roman"/>
          <w:b/>
          <w:sz w:val="24"/>
          <w:szCs w:val="24"/>
          <w:u w:val="single"/>
          <w:lang w:eastAsia="ru-RU"/>
        </w:rPr>
        <w:t>гарантійний лист</w:t>
      </w:r>
      <w:r w:rsidRPr="00A406EE">
        <w:rPr>
          <w:rFonts w:ascii="Times New Roman" w:eastAsia="Times New Roman" w:hAnsi="Times New Roman" w:cs="Times New Roman"/>
          <w:sz w:val="24"/>
          <w:szCs w:val="24"/>
          <w:lang w:eastAsia="ru-RU"/>
        </w:rPr>
        <w:t>, складений в довільній формі, щодо постачання товарів, що є предметом закупівлі, в обсягах та у строки, які визначені Замовником та щодо виконання вимог Замовника до предмета закупівлі.</w:t>
      </w:r>
    </w:p>
    <w:p w:rsidR="009F62CA" w:rsidRPr="00A406EE" w:rsidRDefault="009F62CA" w:rsidP="009F62CA">
      <w:pPr>
        <w:spacing w:after="0" w:line="240" w:lineRule="auto"/>
        <w:ind w:firstLine="567"/>
        <w:jc w:val="both"/>
        <w:rPr>
          <w:rFonts w:ascii="Times New Roman" w:eastAsia="Times New Roman" w:hAnsi="Times New Roman" w:cs="Times New Roman"/>
          <w:sz w:val="24"/>
          <w:szCs w:val="24"/>
          <w:lang w:eastAsia="ru-RU"/>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r w:rsidRPr="00A406EE">
        <w:rPr>
          <w:rFonts w:ascii="Times New Roman" w:eastAsia="Times New Roman" w:hAnsi="Times New Roman" w:cs="Times New Roman"/>
          <w:i/>
          <w:sz w:val="24"/>
          <w:szCs w:val="24"/>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firstLine="567"/>
        <w:jc w:val="both"/>
        <w:rPr>
          <w:rFonts w:ascii="Times New Roman" w:eastAsia="Times New Roman" w:hAnsi="Times New Roman" w:cs="Times New Roman"/>
          <w:sz w:val="24"/>
          <w:szCs w:val="24"/>
          <w:lang w:eastAsia="ru-RU"/>
        </w:rPr>
      </w:pPr>
    </w:p>
    <w:p w:rsidR="009F62CA" w:rsidRPr="00A406EE" w:rsidRDefault="009F62CA" w:rsidP="009F62CA">
      <w:pPr>
        <w:spacing w:after="0" w:line="240" w:lineRule="auto"/>
        <w:ind w:firstLine="567"/>
        <w:jc w:val="both"/>
        <w:rPr>
          <w:rFonts w:ascii="Times New Roman" w:eastAsia="Times New Roman" w:hAnsi="Times New Roman" w:cs="Times New Roman"/>
          <w:b/>
          <w:sz w:val="24"/>
          <w:szCs w:val="24"/>
          <w:lang w:eastAsia="ru-RU"/>
        </w:rPr>
      </w:pPr>
      <w:r w:rsidRPr="00A406EE">
        <w:rPr>
          <w:rFonts w:ascii="Times New Roman" w:eastAsia="Times New Roman" w:hAnsi="Times New Roman" w:cs="Times New Roman"/>
          <w:b/>
          <w:sz w:val="24"/>
          <w:szCs w:val="24"/>
          <w:lang w:eastAsia="ru-RU"/>
        </w:rPr>
        <w:t>Ми, _________________, у разі визнання Нас переможцями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тендерній документації</w:t>
      </w:r>
      <w:r w:rsidRPr="00A406EE">
        <w:rPr>
          <w:rFonts w:ascii="Times New Roman" w:eastAsia="Times New Roman" w:hAnsi="Times New Roman" w:cs="Times New Roman"/>
          <w:sz w:val="24"/>
          <w:szCs w:val="24"/>
          <w:lang w:eastAsia="ru-RU"/>
        </w:rPr>
        <w:t>.</w:t>
      </w:r>
    </w:p>
    <w:p w:rsidR="009F62CA" w:rsidRPr="00A406EE" w:rsidRDefault="009F62CA" w:rsidP="009F62CA">
      <w:pPr>
        <w:spacing w:after="0" w:line="240" w:lineRule="auto"/>
        <w:ind w:firstLine="567"/>
        <w:jc w:val="both"/>
        <w:rPr>
          <w:rFonts w:ascii="Times New Roman" w:eastAsia="Times New Roman" w:hAnsi="Times New Roman" w:cs="Times New Roman"/>
          <w:b/>
          <w:sz w:val="24"/>
          <w:szCs w:val="24"/>
          <w:lang w:eastAsia="ru-RU"/>
        </w:rPr>
      </w:pPr>
    </w:p>
    <w:p w:rsidR="009F62CA" w:rsidRPr="00A406EE" w:rsidRDefault="009F62CA" w:rsidP="009F62CA">
      <w:pPr>
        <w:spacing w:after="0" w:line="240" w:lineRule="auto"/>
        <w:ind w:firstLine="567"/>
        <w:jc w:val="both"/>
        <w:rPr>
          <w:rFonts w:ascii="Times New Roman" w:eastAsia="Times New Roman" w:hAnsi="Times New Roman" w:cs="Times New Roman"/>
          <w:b/>
          <w:sz w:val="24"/>
          <w:szCs w:val="24"/>
          <w:lang w:eastAsia="ru-RU"/>
        </w:rPr>
      </w:pPr>
    </w:p>
    <w:p w:rsidR="009F62CA" w:rsidRPr="00A406EE" w:rsidRDefault="009F62CA" w:rsidP="009F62CA">
      <w:pPr>
        <w:spacing w:after="0" w:line="240" w:lineRule="auto"/>
        <w:ind w:firstLine="567"/>
        <w:jc w:val="both"/>
        <w:rPr>
          <w:rFonts w:ascii="Times New Roman" w:eastAsia="Times New Roman" w:hAnsi="Times New Roman" w:cs="Times New Roman"/>
          <w:b/>
          <w:sz w:val="24"/>
          <w:szCs w:val="24"/>
          <w:lang w:eastAsia="ru-RU"/>
        </w:rPr>
      </w:pPr>
    </w:p>
    <w:p w:rsidR="009F62CA" w:rsidRPr="00A406EE" w:rsidRDefault="009F62CA" w:rsidP="009F62CA">
      <w:pPr>
        <w:spacing w:after="0" w:line="240" w:lineRule="auto"/>
        <w:ind w:firstLine="567"/>
        <w:jc w:val="both"/>
        <w:rPr>
          <w:rFonts w:ascii="Times New Roman" w:eastAsia="Times New Roman" w:hAnsi="Times New Roman" w:cs="Times New Roman"/>
          <w:b/>
          <w:sz w:val="24"/>
          <w:szCs w:val="24"/>
          <w:lang w:eastAsia="ru-RU"/>
        </w:rPr>
      </w:pPr>
      <w:r w:rsidRPr="00A406EE">
        <w:rPr>
          <w:rFonts w:ascii="Times New Roman" w:eastAsia="Times New Roman" w:hAnsi="Times New Roman" w:cs="Times New Roman"/>
          <w:b/>
          <w:sz w:val="24"/>
          <w:szCs w:val="24"/>
          <w:lang w:eastAsia="ru-RU"/>
        </w:rPr>
        <w:t>Дата: _____________                                         ________________ (підпис)</w:t>
      </w:r>
    </w:p>
    <w:p w:rsidR="009F62CA" w:rsidRPr="00A406EE" w:rsidRDefault="009F62CA" w:rsidP="009F62CA">
      <w:pPr>
        <w:spacing w:after="0" w:line="240" w:lineRule="auto"/>
        <w:jc w:val="center"/>
        <w:rPr>
          <w:rFonts w:ascii="Times New Roman" w:eastAsia="Times New Roman" w:hAnsi="Times New Roman" w:cs="Times New Roman"/>
          <w:b/>
          <w:sz w:val="24"/>
          <w:szCs w:val="24"/>
          <w:lang w:eastAsia="ru-RU"/>
        </w:rPr>
      </w:pPr>
    </w:p>
    <w:p w:rsidR="009F62CA" w:rsidRPr="00A406EE" w:rsidRDefault="009F62CA" w:rsidP="009F62CA">
      <w:pPr>
        <w:tabs>
          <w:tab w:val="left" w:pos="7560"/>
        </w:tabs>
        <w:spacing w:after="0" w:line="240" w:lineRule="auto"/>
        <w:jc w:val="both"/>
        <w:rPr>
          <w:rFonts w:ascii="Arial" w:eastAsia="Times New Roman" w:hAnsi="Arial" w:cs="Times New Roman"/>
          <w:color w:val="000000"/>
          <w:sz w:val="20"/>
          <w:szCs w:val="20"/>
        </w:rPr>
      </w:pPr>
      <w:r w:rsidRPr="00A406EE">
        <w:rPr>
          <w:rFonts w:ascii="Arial" w:eastAsia="Times New Roman" w:hAnsi="Arial" w:cs="Times New Roman"/>
          <w:b/>
          <w:bCs/>
          <w:sz w:val="20"/>
          <w:szCs w:val="20"/>
        </w:rPr>
        <w:t xml:space="preserve">                                                                  </w:t>
      </w:r>
    </w:p>
    <w:p w:rsidR="009F62CA" w:rsidRPr="00A406EE" w:rsidRDefault="009F62CA" w:rsidP="009F62CA">
      <w:pPr>
        <w:widowControl w:val="0"/>
        <w:suppressAutoHyphens/>
        <w:autoSpaceDE w:val="0"/>
        <w:spacing w:after="0" w:line="240" w:lineRule="auto"/>
        <w:jc w:val="center"/>
        <w:rPr>
          <w:rFonts w:ascii="Times New Roman" w:eastAsia="Times New Roman" w:hAnsi="Times New Roman" w:cs="Times New Roman"/>
          <w:b/>
          <w:sz w:val="24"/>
          <w:szCs w:val="24"/>
          <w:lang w:eastAsia="ru-RU"/>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left="-426" w:right="-2" w:firstLine="568"/>
        <w:jc w:val="both"/>
        <w:rPr>
          <w:rFonts w:ascii="Times New Roman" w:eastAsia="Times New Roman" w:hAnsi="Times New Roman" w:cs="Times New Roman"/>
          <w:i/>
          <w:sz w:val="24"/>
          <w:szCs w:val="24"/>
          <w:lang w:eastAsia="uk-UA"/>
        </w:rPr>
      </w:pPr>
    </w:p>
    <w:p w:rsidR="009F62CA" w:rsidRPr="00A406EE" w:rsidRDefault="009F62CA" w:rsidP="009F62CA">
      <w:pPr>
        <w:spacing w:after="0" w:line="240" w:lineRule="auto"/>
        <w:ind w:right="23"/>
        <w:jc w:val="both"/>
        <w:rPr>
          <w:rFonts w:ascii="Times New Roman" w:eastAsia="Times New Roman" w:hAnsi="Times New Roman" w:cs="Times New Roman"/>
          <w:bCs/>
          <w:iCs/>
          <w:sz w:val="24"/>
          <w:szCs w:val="24"/>
          <w:lang w:eastAsia="ru-RU"/>
        </w:rPr>
      </w:pPr>
      <w:r w:rsidRPr="00A406EE">
        <w:rPr>
          <w:rFonts w:ascii="Times New Roman" w:eastAsia="Times New Roman" w:hAnsi="Times New Roman" w:cs="Times New Roman"/>
          <w:bCs/>
          <w:iCs/>
          <w:sz w:val="24"/>
          <w:szCs w:val="24"/>
          <w:lang w:eastAsia="ru-RU"/>
        </w:rPr>
        <w:t xml:space="preserve">                                      </w:t>
      </w:r>
    </w:p>
    <w:p w:rsidR="009F62CA" w:rsidRPr="00A406EE" w:rsidRDefault="009F62CA" w:rsidP="009F62CA">
      <w:pPr>
        <w:spacing w:after="0" w:line="240" w:lineRule="auto"/>
        <w:ind w:right="23"/>
        <w:jc w:val="both"/>
        <w:rPr>
          <w:rFonts w:ascii="Times New Roman" w:eastAsia="Times New Roman" w:hAnsi="Times New Roman" w:cs="Times New Roman"/>
          <w:i/>
          <w:sz w:val="24"/>
          <w:szCs w:val="24"/>
          <w:lang w:eastAsia="uk-UA"/>
        </w:rPr>
      </w:pPr>
      <w:r w:rsidRPr="00A406EE">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 xml:space="preserve">                           </w:t>
      </w:r>
    </w:p>
    <w:p w:rsidR="009F62CA" w:rsidRDefault="009F62CA" w:rsidP="009F62CA"/>
    <w:p w:rsidR="009F62CA" w:rsidRDefault="009F62CA" w:rsidP="009F62CA"/>
    <w:p w:rsidR="009F62CA" w:rsidRDefault="009F62CA" w:rsidP="009F62CA"/>
    <w:p w:rsidR="00F942B3" w:rsidRDefault="00F942B3"/>
    <w:sectPr w:rsidR="00F942B3" w:rsidSect="005141C1">
      <w:pgSz w:w="11906" w:h="16838"/>
      <w:pgMar w:top="360" w:right="707" w:bottom="54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3138C"/>
    <w:multiLevelType w:val="hybridMultilevel"/>
    <w:tmpl w:val="67CC8C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F8"/>
    <w:rsid w:val="001435F8"/>
    <w:rsid w:val="009F62CA"/>
    <w:rsid w:val="00AC650D"/>
    <w:rsid w:val="00C74D4A"/>
    <w:rsid w:val="00F942B3"/>
    <w:rsid w:val="00FA4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E261"/>
  <w15:chartTrackingRefBased/>
  <w15:docId w15:val="{B0EBFDD3-ACE6-42DD-AA82-C44E3AF0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FA42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A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3432</Words>
  <Characters>1957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4</cp:revision>
  <dcterms:created xsi:type="dcterms:W3CDTF">2022-09-29T11:27:00Z</dcterms:created>
  <dcterms:modified xsi:type="dcterms:W3CDTF">2022-09-30T10:00:00Z</dcterms:modified>
</cp:coreProperties>
</file>