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2D" w:rsidRPr="00552916" w:rsidRDefault="0002254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0D2F2D" w:rsidRPr="00552916" w:rsidRDefault="0002254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0D2F2D" w:rsidRPr="00552916" w:rsidRDefault="0002254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D2F2D" w:rsidRPr="00552916" w:rsidRDefault="0002254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0D2F2D" w:rsidRPr="00552916" w:rsidRDefault="000D2F2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4603"/>
        <w:gridCol w:w="4526"/>
      </w:tblGrid>
      <w:tr w:rsidR="000D2F2D" w:rsidRPr="00552916" w:rsidTr="005C3E13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2F2D" w:rsidRPr="00552916" w:rsidRDefault="000225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552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2F2D" w:rsidRPr="00552916" w:rsidRDefault="000225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2F2D" w:rsidRPr="00552916" w:rsidRDefault="0002254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552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0D2F2D" w:rsidRPr="00552916" w:rsidTr="005C3E13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25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3A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22547"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022547"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022547"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0D2F2D" w:rsidRPr="00552916" w:rsidRDefault="003A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022547"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022547"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022547"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F338D3" w:rsidRPr="00552916" w:rsidRDefault="0002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F338D3" w:rsidRPr="00552916" w:rsidRDefault="0002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- </w:t>
            </w:r>
            <w:r w:rsidRPr="00552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ДК 021:2015: 39310000-8 Обладнання для закладів громадського харчування</w:t>
            </w:r>
            <w:r w:rsidR="00F338D3" w:rsidRPr="00552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або</w:t>
            </w:r>
          </w:p>
          <w:p w:rsidR="00F338D3" w:rsidRPr="00552916" w:rsidRDefault="00F33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5529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5529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ДК 021:2015:39710000-2: Електричні побутові прилади</w:t>
            </w:r>
          </w:p>
          <w:p w:rsidR="000D2F2D" w:rsidRPr="00552916" w:rsidRDefault="000D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F2D" w:rsidRPr="00552916" w:rsidTr="005C3E13">
        <w:trPr>
          <w:trHeight w:val="81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25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фінансової спроможності*</w:t>
            </w:r>
          </w:p>
          <w:p w:rsidR="000D2F2D" w:rsidRPr="00552916" w:rsidRDefault="0002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 Замовник не</w:t>
            </w:r>
            <w:r w:rsidRPr="005529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  <w:r w:rsidRPr="005529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вимагає надання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D0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022547"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</w:t>
            </w:r>
            <w:r w:rsidR="00022547"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Надати фінансову звітність за останній звітний період.</w:t>
            </w:r>
          </w:p>
          <w:p w:rsidR="000D2F2D" w:rsidRPr="00552916" w:rsidRDefault="000D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2F2D" w:rsidRPr="00552916" w:rsidRDefault="00022547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 w:rsidRPr="005529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 w:rsidRPr="005529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D2F2D" w:rsidRPr="00552916" w:rsidRDefault="000225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0D2F2D" w:rsidRPr="00552916" w:rsidRDefault="000D2F2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D2F2D" w:rsidRPr="00552916" w:rsidRDefault="00022547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 w:rsidRPr="00552916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552916"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D2F2D" w:rsidRPr="00552916" w:rsidRDefault="00022547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 w:rsidRPr="00552916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552916"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0D2F2D" w:rsidRPr="00552916" w:rsidRDefault="00022547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</w:t>
      </w:r>
      <w:proofErr w:type="gramStart"/>
      <w:r w:rsidRPr="00552916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552916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 w:rsidRPr="00552916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552916"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 17 Закону (крім пункту 13 частини першої статті 17 Закону).</w:t>
      </w:r>
    </w:p>
    <w:p w:rsidR="000D2F2D" w:rsidRPr="00552916" w:rsidRDefault="0002254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0D2F2D" w:rsidRPr="00552916" w:rsidRDefault="00022547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Замовник зобов’язаний відхилити тендерну пропозицію переможця процедури закупі</w:t>
      </w:r>
      <w:proofErr w:type="gramStart"/>
      <w:r w:rsidRPr="00552916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5291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в разі, коли наявні підстави, визначені статтею 17 </w:t>
      </w:r>
      <w:r w:rsidRPr="00552916">
        <w:rPr>
          <w:rFonts w:ascii="Times New Roman" w:eastAsia="Times New Roman" w:hAnsi="Times New Roman" w:cs="Times New Roman"/>
          <w:sz w:val="20"/>
          <w:szCs w:val="20"/>
        </w:rPr>
        <w:t>Закону (крім пункту 13 частини першої статті 17 Закону).</w:t>
      </w:r>
    </w:p>
    <w:p w:rsidR="000D2F2D" w:rsidRPr="00552916" w:rsidRDefault="00022547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552916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552916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552916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552916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0D2F2D" w:rsidRPr="00552916" w:rsidRDefault="000225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D2F2D" w:rsidRPr="0055291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D2F2D" w:rsidRPr="00552916" w:rsidRDefault="000225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0D2F2D" w:rsidRPr="00552916" w:rsidRDefault="000D2F2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D2F2D" w:rsidRPr="00552916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0D2F2D" w:rsidRPr="00552916" w:rsidRDefault="000225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552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D2F2D" w:rsidRPr="00552916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 w:rsidRPr="00552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0D2F2D" w:rsidRPr="00552916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AB7614" w:rsidRDefault="00AB76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7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D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F2D" w:rsidRPr="00552916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AB7614" w:rsidRDefault="00AB76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 w:rsidRPr="00552916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0D2F2D" w:rsidRPr="00552916" w:rsidRDefault="000225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0D2F2D" w:rsidRPr="00552916" w:rsidRDefault="000D2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D2F2D" w:rsidRPr="00552916" w:rsidRDefault="0002254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 w:rsidRPr="00552916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D2F2D" w:rsidRPr="0055291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D2F2D" w:rsidRPr="00552916" w:rsidRDefault="000225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0D2F2D" w:rsidRPr="00552916" w:rsidRDefault="000D2F2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D2F2D" w:rsidRPr="00552916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0D2F2D" w:rsidRPr="00552916" w:rsidRDefault="000225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D2F2D" w:rsidRPr="00552916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0D2F2D" w:rsidRPr="00552916" w:rsidRDefault="0002254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повинен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0D2F2D" w:rsidRPr="00552916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AB7614" w:rsidRDefault="00AB76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B76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AB7614" w:rsidRDefault="000225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B7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0D2F2D" w:rsidRPr="00552916" w:rsidRDefault="000225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D2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F2D" w:rsidRPr="00552916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AB7614" w:rsidRDefault="00AB761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 w:rsidRPr="00552916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0D2F2D" w:rsidRPr="00552916" w:rsidRDefault="0002254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0D2F2D" w:rsidRPr="00552916" w:rsidRDefault="0002254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Замовник не перевіряє переможця процедури закупі</w:t>
      </w:r>
      <w:proofErr w:type="gramStart"/>
      <w:r w:rsidRPr="00552916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вл</w:t>
      </w:r>
      <w:proofErr w:type="gramEnd"/>
      <w:r w:rsidRPr="00552916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0D2F2D" w:rsidRPr="00552916" w:rsidRDefault="0002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D2F2D" w:rsidRPr="00552916" w:rsidRDefault="0002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 w:rsidRPr="00552916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 w:rsidRPr="00552916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D2F2D" w:rsidRPr="00552916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0D2F2D" w:rsidRPr="00552916" w:rsidTr="00BF7358">
        <w:trPr>
          <w:trHeight w:val="44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7620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552916">
              <w:rPr>
                <w:rFonts w:ascii="Times New Roman" w:hAnsi="Times New Roman" w:cs="Times New Roman"/>
                <w:sz w:val="20"/>
                <w:szCs w:val="20"/>
              </w:rPr>
              <w:t>опію виписки (свідоцтва) з Єдиного державного реєстру юридичних осіб та фізичних осіб - підприємців, або витяг з Єдиного державного реєстру юридичних осіб та фізичних осіб - підприємців</w:t>
            </w:r>
          </w:p>
        </w:tc>
      </w:tr>
      <w:tr w:rsidR="00BF7358" w:rsidRPr="00552916" w:rsidTr="00BF7358">
        <w:trPr>
          <w:trHeight w:val="74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358" w:rsidRPr="00552916" w:rsidRDefault="00BF73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358" w:rsidRPr="00552916" w:rsidRDefault="00BF7358" w:rsidP="00BF7358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529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Копію свідоцтво про взяття на облік платника податків, платника ПДВ (платника єдиного податку) </w:t>
            </w:r>
            <w:r w:rsidRPr="005529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або витягу з реєстру платників ПДВ (якщо Учасник є платником ПДВ) або платника єдиного податку (якщо Учасник є платником єдиного податку)</w:t>
            </w:r>
            <w:r w:rsidRPr="005529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</w:tc>
      </w:tr>
      <w:tr w:rsidR="00D6132C" w:rsidRPr="00AB761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32C" w:rsidRPr="00552916" w:rsidRDefault="00BF73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32C" w:rsidRPr="00552916" w:rsidRDefault="00D6132C" w:rsidP="00BF7358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29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Документи, що підтверджують повноваження посадової особи учасника (іншої особи, уповноваженої учасником) щодо підписання тендерної пропозиції та укладання договору : копія протоколу установчих (загальних) зборів учасників (засновників, акціонерів, власників) та копія наказу на призначення директора, для фізичних осіб – підприємців, - довідка в довільній формі про те що він залишає за собою право підпису документів пропозиції та/або договору;</w:t>
            </w:r>
          </w:p>
        </w:tc>
      </w:tr>
      <w:tr w:rsidR="007620D9" w:rsidRPr="00AB761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D9" w:rsidRPr="00552916" w:rsidRDefault="00BF73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0D9" w:rsidRPr="00552916" w:rsidRDefault="007620D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5529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D2F2D" w:rsidRPr="00AB761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BF735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2F2D" w:rsidRPr="00552916" w:rsidRDefault="00022547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</w:t>
            </w: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місцезнаходження та країна реєстрації; прізвище, ім’я по</w:t>
            </w:r>
            <w:r w:rsidRPr="005529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батькові засновника та/або кінцевого бенефіціарного власника, адреса його </w:t>
            </w:r>
            <w:r w:rsidRPr="005529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місця проживання</w:t>
            </w:r>
            <w:r w:rsidRPr="0055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громадянство.</w:t>
            </w:r>
          </w:p>
          <w:p w:rsidR="000D2F2D" w:rsidRPr="00552916" w:rsidRDefault="0002254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 w:rsidRPr="005529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—</w:t>
            </w:r>
            <w:r w:rsidRPr="005529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 w:rsidRPr="005529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—</w:t>
            </w:r>
            <w:r w:rsidRPr="005529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юридичними особами, які повинні мати таку інформацію в Єдиному державному реєстрі юридичних осіб, фізичних осіб </w:t>
            </w:r>
            <w:r w:rsidRPr="005529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—</w:t>
            </w:r>
            <w:r w:rsidRPr="005529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5529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—</w:t>
            </w:r>
            <w:r w:rsidRPr="005529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підприємців та громадських формувань».</w:t>
            </w:r>
            <w:r w:rsidRPr="0055291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7748FD" w:rsidRPr="00552916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8FD" w:rsidRPr="00552916" w:rsidRDefault="00BF7358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8FD" w:rsidRPr="00552916" w:rsidRDefault="007748F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529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Довідка з банку про наявність поточного рахунку та відсутність заборгованості, що видана не раніше дати оприлюднення оголошення цієї закупівлі.</w:t>
            </w:r>
          </w:p>
        </w:tc>
      </w:tr>
    </w:tbl>
    <w:p w:rsidR="000D2F2D" w:rsidRPr="00552916" w:rsidRDefault="000D2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2F2D" w:rsidRPr="00552916" w:rsidRDefault="0002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 Вимоги до оформлення забезпечення тендерної пропозиції</w:t>
      </w:r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 вигляді банківської гарантії </w:t>
      </w:r>
    </w:p>
    <w:p w:rsidR="000D2F2D" w:rsidRPr="00552916" w:rsidRDefault="000D2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2F2D" w:rsidRPr="00552916" w:rsidRDefault="00022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Інструкція щодо заповнення гарантії: </w:t>
      </w:r>
    </w:p>
    <w:p w:rsidR="000D2F2D" w:rsidRPr="00552916" w:rsidRDefault="00022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в гарантії потрібно зазначити дані в місцях з нижнім </w:t>
      </w:r>
      <w:proofErr w:type="gramStart"/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>ідкресленням;</w:t>
      </w:r>
    </w:p>
    <w:p w:rsidR="000D2F2D" w:rsidRPr="00552916" w:rsidRDefault="0002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замінити слова курсивом </w:t>
      </w:r>
      <w:proofErr w:type="gramStart"/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відповідні дані;</w:t>
      </w:r>
    </w:p>
    <w:p w:rsidR="000D2F2D" w:rsidRPr="00552916" w:rsidRDefault="0002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52916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*вибрати необхі</w:t>
      </w:r>
      <w:proofErr w:type="gramStart"/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>дне</w:t>
      </w:r>
      <w:proofErr w:type="gramEnd"/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>: робочі дні або банківські дні.  </w:t>
      </w:r>
    </w:p>
    <w:p w:rsidR="00A771BA" w:rsidRPr="00552916" w:rsidRDefault="00A77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D2F2D" w:rsidRPr="00552916" w:rsidRDefault="000225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>ЗАТВЕРДЖЕНО</w:t>
      </w:r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Наказ Міністерства розвитку економіки, </w:t>
      </w:r>
    </w:p>
    <w:p w:rsidR="000D2F2D" w:rsidRPr="00552916" w:rsidRDefault="000225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>торгі</w:t>
      </w:r>
      <w:proofErr w:type="gramStart"/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proofErr w:type="gramEnd"/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t>і та сільського господарства України</w:t>
      </w:r>
      <w:r w:rsidRPr="0055291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14 грудня 2020 року N 2628</w:t>
      </w:r>
    </w:p>
    <w:p w:rsidR="000D2F2D" w:rsidRPr="00552916" w:rsidRDefault="00022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</w:t>
      </w:r>
      <w:r w:rsidRPr="0055291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  <w:t>забезпечення тендерної пропозиції</w:t>
      </w:r>
    </w:p>
    <w:tbl>
      <w:tblPr>
        <w:tblStyle w:val="ad"/>
        <w:tblW w:w="9629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629"/>
      </w:tblGrid>
      <w:tr w:rsidR="000D2F2D" w:rsidRPr="00552916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F2D" w:rsidRPr="00552916" w:rsidRDefault="00022547">
            <w:pPr>
              <w:shd w:val="clear" w:color="auto" w:fill="FFFFFF"/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Style w:val="ae"/>
              <w:tblW w:w="9599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599"/>
            </w:tblGrid>
            <w:tr w:rsidR="000D2F2D" w:rsidRPr="00552916">
              <w:trPr>
                <w:jc w:val="center"/>
              </w:trPr>
              <w:tc>
                <w:tcPr>
                  <w:tcW w:w="9599" w:type="dxa"/>
                </w:tcPr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                                            ___________________ </w:t>
                  </w:r>
                  <w:r w:rsidRPr="005529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ГАРАНТІЯ </w:t>
                  </w:r>
                  <w:r w:rsidRPr="0055291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________</w:t>
                  </w: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                                         (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назва в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разі необхідності)</w:t>
                  </w:r>
                </w:p>
              </w:tc>
            </w:tr>
            <w:tr w:rsidR="000D2F2D" w:rsidRPr="00552916">
              <w:trPr>
                <w:jc w:val="center"/>
              </w:trPr>
              <w:tc>
                <w:tcPr>
                  <w:tcW w:w="9599" w:type="dxa"/>
                </w:tcPr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 Реквізити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Дата видачі ______________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Місце складання ____________________________________________________________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Повне найменування гаранта__________________________________________________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Повне найменування принципала______________________________________________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Найменування бенефіціара____________________________________________________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Сума гарантії _______________________________________________________________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Назва валюти,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якій надається гарантія _________________________________________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Дата початку строку дії гарантії (набрання чинності) ______________________________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Дата закінчення строку дії гарантії, якщо жодна з подій, передбачених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пункті 4 форми, не настане____________________________________________________________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Номер оголошення про проведення конкурентної процедури закупі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і_______________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Інформація щодо тендерної документації________________________________________</w:t>
                  </w: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Відомості про догові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відповідно до якого видається гарантія банком, страховою організацією, фінансовою установою (у разі наявності)____________________________***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2. Ця гарантія застосовується для цілей забезпечення тендерної пропозиції учасника процедури закупі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 відповідно до </w:t>
                  </w:r>
                  <w:hyperlink r:id="rId7">
                    <w:r w:rsidRPr="00552916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u w:val="single"/>
                      </w:rPr>
                      <w:t>Закону України "Про публічні закупівлі"</w:t>
                    </w:r>
                  </w:hyperlink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 (далі </w:t>
                  </w:r>
                  <w:r w:rsidRPr="005529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</w:t>
                  </w: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Закон).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3. За цією гарантією гарант безвідклично зобов'язаний сплатити бенефіціару суму гарантії протягом 5 робочих/банківських* днів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ісля дня отримання гарантом письмової вимоги бенефіціара про сплату суми гарантії (далі </w:t>
                  </w:r>
                  <w:r w:rsidRPr="005529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</w:t>
                  </w: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вимога).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Вимога надається бенефіціаром на поштову адресу гаранта та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повинна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бути отримана ним протягом строку дії гарантії.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Вимога може бути передана через банк бенефіціара, який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ідтвердить автентичним SWIFT-повідомленням на SWIFT-адресу гаранта достовірність підписів та печатки бенефіціара (у разі наявності) на вимозі та повноваження особи (осіб), що підписала(и) вимогу (у разі, якщо гарантом є банк).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Вимога повинна супроводжуватися копіями документів, засвідчених бенефіціаром та скріплених печаткою бенефіціара (у разі наявності), що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ідтверджують повноваження особи (осіб), що підписала(и) вимогу.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Вимога повинна містити посилання на дату складання/видачі і номер цієї гарантії, а також посилання на одну з таких умов (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ідстав), що підтверджують невиконання принципалом своїх зобов'язань, передбачених його тендерною пропозицією: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відкликання тендерної пропозиції принципалом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ісля закінчення строку її подання, але до того, як сплив строк, протягом якого тендерні пропозиції вважаються дійсними;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непідписання принципалом, який став переможцем тендеру, договору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закупівлю;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ненадання принципалом, який став переможцем тендеру, забезпечення виконання договору про закупівлю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ісля отримання повідомлення про намір укласти договір про закупівлю, якщо надання такого забезпечення передбачено тендерною документацією;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ненадання принципалом, який став переможцем процедури закупі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 (крім переговорної процедури закупівлі), у строк, визначений </w:t>
                  </w:r>
                  <w:hyperlink r:id="rId8">
                    <w:r w:rsidRPr="00552916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u w:val="single"/>
                      </w:rPr>
                      <w:t>частиною шостою статті 17 Закону</w:t>
                    </w:r>
                  </w:hyperlink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 документів, що підтверджують відсутність підстав, установлених </w:t>
                  </w:r>
                  <w:hyperlink r:id="rId9">
                    <w:r w:rsidRPr="00552916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u w:val="single"/>
                      </w:rPr>
                      <w:t>статтею 17 Закону</w:t>
                    </w:r>
                  </w:hyperlink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сплата бенефіціару суми гарантії;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отримання гарантом письмової заяви бенефіціара про звільнення гаранта від зобов'язань за цією гарантією;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отримання гарантом повідомлення принципала про настання однієї з обставин, що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ідтверджується відповідною інформацією, розміщеною на вебпорталі Уповноваженого органу, а саме: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закінчення строку дії тендерної пропозиції та забезпечення тендерної пропозиції, зазначеного в тендерній документації;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укладення договору про закупівлю з учасником, який став переможцем процедури закупі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 (крім переговорної процедури закупівлі);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відкликання принципалом тендерної пропозиції до закінчення строку її подання;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закінчення тендеру в разі неукладення договору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закупівлю з жодним з учасників, які подали тендерні пропозиції.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5. У разі дострокового звільнення гаранта від зобов'язань за цією гарантією заява бенефіціара про звільнення гаранта від зобов'язань за цією гарантією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повинна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бути складена в один із таких способів: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паперовому носії,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ідписана представником(ами) бенефіціара і скріплена печаткою бенефіціара (у разі наявності), що підтверджує повноваження особи (осіб), що підписала(и) заяву, шляхом надсилання на поштову адресу гаранта;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 формі електронного документа,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ідписана представником(ами) бенефіціара з накладенням кваліфікованого електронного підпису представника(ів) бенефіціара та подана безпосередньо на електронну адресу гаранту разом із засвідченими кваліфікованим електронним підписом представника(ів) бенефіціара копіями документів, що підтверджують повноваження представника(ів) бенефіціара.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6. Зміни до цієї гарантії можуть бути внесені в установленому законодавством порядку,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ісля чого вони стають невід'ємною частиною цієї гарантії.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7. Ця гарантія надається виключно бенефіціару і не може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бути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передана або переуступлена будь-кому.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Відносини за цією гарантією регулюються законодавством України.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Зобов'язання та відповідальність гаранта перед бенефіціаром обмежуються сумою гарантії.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Цю гарантію надано в формі електронного документа та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ідписано шляхом накладання кваліфікованого(их) електронного(их) підпису(ів) та кваліфікованої електронної печатки (у разі наявності), що прирівняні до власноручного підпису(ів) уповноваженої(их) особи(іб) гаранта та його печатки відповідно (зазначається в разі, якщо гарантія надається в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електронній формі).</w:t>
                  </w:r>
                  <w:proofErr w:type="gramEnd"/>
                </w:p>
                <w:p w:rsidR="000D2F2D" w:rsidRPr="00552916" w:rsidRDefault="000D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**Уповноважен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і) особа(и) (у разі складання гарантії на паперовому носії)</w:t>
                  </w: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___________________________________________________________________________  </w:t>
                  </w:r>
                  <w:r w:rsidRPr="005529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(посада, підпис, прізвище, ім'я, по батькові (за наявності) та печатка (у разі наявності)) 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Уповноважен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а(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і) особа(и) (у разі надання в електронній формі)</w:t>
                  </w:r>
                  <w:r w:rsidRPr="005529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___________________________________________________________________________</w:t>
                  </w:r>
                </w:p>
                <w:p w:rsidR="000D2F2D" w:rsidRPr="00552916" w:rsidRDefault="00022547">
                  <w:pPr>
                    <w:spacing w:after="0" w:line="240" w:lineRule="auto"/>
                    <w:ind w:left="3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529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(посада, </w:t>
                  </w:r>
                  <w:proofErr w:type="gramStart"/>
                  <w:r w:rsidRPr="005529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529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ідпис, прізвище, ім'я, по батькові (за наявності) та кваліфікований електронний підпис)</w:t>
                  </w:r>
                </w:p>
              </w:tc>
            </w:tr>
          </w:tbl>
          <w:p w:rsidR="000D2F2D" w:rsidRPr="00552916" w:rsidRDefault="00022547">
            <w:pPr>
              <w:shd w:val="clear" w:color="auto" w:fill="FFFFFF"/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916">
              <w:rPr>
                <w:rFonts w:ascii="Times New Roman" w:eastAsia="Times New Roman" w:hAnsi="Times New Roman" w:cs="Times New Roman"/>
                <w:color w:val="293A55"/>
                <w:sz w:val="20"/>
                <w:szCs w:val="20"/>
              </w:rPr>
              <w:lastRenderedPageBreak/>
              <w:t> </w:t>
            </w:r>
          </w:p>
        </w:tc>
      </w:tr>
    </w:tbl>
    <w:p w:rsidR="000D2F2D" w:rsidRPr="00552916" w:rsidRDefault="00022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>**даний пункт виконується у випадку встановлення вимоги щодо надання гарантії на паперовому носії;</w:t>
      </w:r>
    </w:p>
    <w:p w:rsidR="000D2F2D" w:rsidRPr="00552916" w:rsidRDefault="000225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91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***у випадку відсутності договору зазначається «відсутній» або ставиться прочерк, або залишається поле пустим.</w:t>
      </w:r>
    </w:p>
    <w:p w:rsidR="000D2F2D" w:rsidRPr="00552916" w:rsidRDefault="000D2F2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0D2F2D" w:rsidRPr="00552916" w:rsidSect="00DE2DA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altName w:val="Times New Roman"/>
    <w:charset w:val="00"/>
    <w:family w:val="swiss"/>
    <w:pitch w:val="variable"/>
    <w:sig w:usb0="E00082FF" w:usb1="400078FF" w:usb2="0800002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16D"/>
    <w:multiLevelType w:val="multilevel"/>
    <w:tmpl w:val="498E38B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>
    <w:nsid w:val="720A47DC"/>
    <w:multiLevelType w:val="multilevel"/>
    <w:tmpl w:val="ECD08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D2F2D"/>
    <w:rsid w:val="00022547"/>
    <w:rsid w:val="00057EDC"/>
    <w:rsid w:val="00076545"/>
    <w:rsid w:val="000D2F2D"/>
    <w:rsid w:val="00120481"/>
    <w:rsid w:val="001E03B9"/>
    <w:rsid w:val="00252DE9"/>
    <w:rsid w:val="003A2569"/>
    <w:rsid w:val="00552916"/>
    <w:rsid w:val="005C3E13"/>
    <w:rsid w:val="007620D9"/>
    <w:rsid w:val="007748FD"/>
    <w:rsid w:val="00A03155"/>
    <w:rsid w:val="00A771BA"/>
    <w:rsid w:val="00AB7614"/>
    <w:rsid w:val="00BF7358"/>
    <w:rsid w:val="00C836DB"/>
    <w:rsid w:val="00D064F6"/>
    <w:rsid w:val="00D6132C"/>
    <w:rsid w:val="00DE2DAD"/>
    <w:rsid w:val="00F338D3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AD"/>
  </w:style>
  <w:style w:type="paragraph" w:styleId="1">
    <w:name w:val="heading 1"/>
    <w:basedOn w:val="a"/>
    <w:next w:val="a"/>
    <w:rsid w:val="00DE2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E2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E2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2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2DA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E2D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2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E2DA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DE2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DE2DA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DE2DA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DE2DA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DE2DA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DE2DA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DE2DA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DE2DA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10">
    <w:name w:val="Обычный1"/>
    <w:qFormat/>
    <w:rsid w:val="00BF7358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50922?ed=2020_12_02&amp;an=1295" TargetMode="Externa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t150922?ed=2020_12_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ps.ligazakon.net/document/view/t150922?ed=2020_12_02&amp;an=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Бухгалтер</cp:lastModifiedBy>
  <cp:revision>16</cp:revision>
  <dcterms:created xsi:type="dcterms:W3CDTF">2022-11-04T09:35:00Z</dcterms:created>
  <dcterms:modified xsi:type="dcterms:W3CDTF">2022-11-13T17:56:00Z</dcterms:modified>
</cp:coreProperties>
</file>