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DD" w:rsidRPr="008F3C52" w:rsidRDefault="00F73ADD" w:rsidP="00F73ADD">
      <w:pPr>
        <w:contextualSpacing/>
        <w:jc w:val="right"/>
        <w:textAlignment w:val="baseline"/>
        <w:rPr>
          <w:b/>
          <w:bCs/>
          <w:lang w:val="uk-UA"/>
        </w:rPr>
      </w:pPr>
      <w:bookmarkStart w:id="0" w:name="_Hlk508232786"/>
      <w:r w:rsidRPr="008F3C52">
        <w:rPr>
          <w:b/>
          <w:bCs/>
          <w:lang w:val="uk-UA"/>
        </w:rPr>
        <w:t>Додаток 2</w:t>
      </w:r>
    </w:p>
    <w:p w:rsidR="00F73ADD" w:rsidRPr="008F3C52" w:rsidRDefault="00F73ADD" w:rsidP="00F73ADD">
      <w:pPr>
        <w:contextualSpacing/>
        <w:jc w:val="right"/>
        <w:textAlignment w:val="baseline"/>
        <w:rPr>
          <w:b/>
          <w:bCs/>
          <w:lang w:val="uk-UA"/>
        </w:rPr>
      </w:pPr>
      <w:r w:rsidRPr="008F3C52">
        <w:rPr>
          <w:b/>
          <w:bCs/>
          <w:lang w:val="uk-UA"/>
        </w:rPr>
        <w:t>до тендерної документації</w:t>
      </w:r>
    </w:p>
    <w:p w:rsidR="00F73ADD" w:rsidRPr="008F3C52" w:rsidRDefault="00F73ADD" w:rsidP="00F73ADD">
      <w:pPr>
        <w:contextualSpacing/>
        <w:jc w:val="center"/>
        <w:textAlignment w:val="baseline"/>
        <w:rPr>
          <w:b/>
          <w:bCs/>
          <w:lang w:val="uk-UA"/>
        </w:rPr>
      </w:pPr>
    </w:p>
    <w:p w:rsidR="00F73ADD" w:rsidRPr="008F3C52" w:rsidRDefault="00F73ADD" w:rsidP="00F73ADD">
      <w:pPr>
        <w:contextualSpacing/>
        <w:jc w:val="center"/>
        <w:textAlignment w:val="baseline"/>
        <w:rPr>
          <w:b/>
          <w:lang w:val="uk-UA"/>
        </w:rPr>
      </w:pPr>
      <w:r w:rsidRPr="008F3C52">
        <w:rPr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F73ADD" w:rsidRDefault="00F73ADD" w:rsidP="00F73ADD">
      <w:pPr>
        <w:contextualSpacing/>
        <w:jc w:val="center"/>
        <w:textAlignment w:val="baseline"/>
        <w:rPr>
          <w:b/>
          <w:sz w:val="32"/>
          <w:szCs w:val="32"/>
          <w:u w:val="single"/>
          <w:lang w:val="uk-UA"/>
        </w:rPr>
      </w:pPr>
    </w:p>
    <w:p w:rsidR="00281419" w:rsidRPr="00281419" w:rsidRDefault="00281419" w:rsidP="00281419">
      <w:pPr>
        <w:contextualSpacing/>
        <w:jc w:val="center"/>
        <w:textAlignment w:val="baseline"/>
        <w:rPr>
          <w:b/>
          <w:color w:val="000000"/>
          <w:lang w:val="uk-UA"/>
        </w:rPr>
      </w:pPr>
      <w:r w:rsidRPr="00281419">
        <w:rPr>
          <w:b/>
          <w:color w:val="000000"/>
          <w:lang w:val="uk-UA"/>
        </w:rPr>
        <w:t xml:space="preserve">Пристрої для лікування переломів, спиці та пластини: </w:t>
      </w:r>
    </w:p>
    <w:p w:rsidR="00281419" w:rsidRPr="00281419" w:rsidRDefault="00281419" w:rsidP="00281419">
      <w:pPr>
        <w:contextualSpacing/>
        <w:jc w:val="center"/>
        <w:textAlignment w:val="baseline"/>
        <w:rPr>
          <w:b/>
          <w:color w:val="000000"/>
          <w:lang w:val="uk-UA"/>
        </w:rPr>
      </w:pPr>
      <w:r w:rsidRPr="00281419">
        <w:rPr>
          <w:b/>
          <w:color w:val="000000"/>
          <w:lang w:val="uk-UA"/>
        </w:rPr>
        <w:t xml:space="preserve">Спиця для скелетного витягування Кішнера діам. 1,5мм * 310 мм.; </w:t>
      </w:r>
    </w:p>
    <w:p w:rsidR="00F73ADD" w:rsidRPr="00281419" w:rsidRDefault="00281419" w:rsidP="00281419">
      <w:pPr>
        <w:contextualSpacing/>
        <w:jc w:val="center"/>
        <w:textAlignment w:val="baseline"/>
        <w:rPr>
          <w:b/>
          <w:u w:val="single"/>
          <w:lang w:val="uk-UA"/>
        </w:rPr>
      </w:pPr>
      <w:r w:rsidRPr="00281419">
        <w:rPr>
          <w:b/>
          <w:color w:val="000000"/>
          <w:lang w:val="uk-UA"/>
        </w:rPr>
        <w:t>Спиця для скелетного витягування Єлізарова діам. 2,5мм * 310 мм.</w:t>
      </w:r>
    </w:p>
    <w:p w:rsidR="00F73ADD" w:rsidRPr="00281419" w:rsidRDefault="00F73ADD" w:rsidP="00F73ADD">
      <w:pPr>
        <w:contextualSpacing/>
        <w:jc w:val="center"/>
        <w:rPr>
          <w:rFonts w:eastAsia="Times New Roman"/>
          <w:color w:val="000000"/>
          <w:lang w:val="uk-UA"/>
        </w:rPr>
      </w:pPr>
      <w:r w:rsidRPr="00281419">
        <w:rPr>
          <w:rFonts w:eastAsia="Times New Roman"/>
          <w:bCs/>
          <w:i/>
          <w:iCs/>
          <w:color w:val="000000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Pr="00281419">
        <w:rPr>
          <w:rFonts w:eastAsia="Times New Roman"/>
          <w:i/>
          <w:color w:val="000000"/>
          <w:lang w:val="uk-UA"/>
        </w:rPr>
        <w:t xml:space="preserve">: </w:t>
      </w:r>
      <w:r w:rsidR="00281419" w:rsidRPr="00281419">
        <w:rPr>
          <w:b/>
          <w:color w:val="000000"/>
          <w:lang w:val="uk-UA"/>
        </w:rPr>
        <w:t xml:space="preserve">33140000-3 </w:t>
      </w:r>
      <w:r w:rsidR="00281419" w:rsidRPr="00281419">
        <w:rPr>
          <w:b/>
          <w:lang w:val="uk-UA"/>
        </w:rPr>
        <w:t xml:space="preserve">- </w:t>
      </w:r>
      <w:r w:rsidR="00281419" w:rsidRPr="00281419">
        <w:rPr>
          <w:b/>
          <w:color w:val="000000"/>
          <w:lang w:val="uk-UA"/>
        </w:rPr>
        <w:t>Медичні матеріали</w:t>
      </w:r>
      <w:r w:rsidRPr="00281419">
        <w:rPr>
          <w:rFonts w:eastAsia="Times New Roman"/>
          <w:i/>
          <w:color w:val="000000"/>
          <w:lang w:val="uk-UA"/>
        </w:rPr>
        <w:t>)</w:t>
      </w:r>
      <w:r w:rsidR="001B2C9E" w:rsidRPr="00281419">
        <w:rPr>
          <w:rFonts w:eastAsia="Times New Roman"/>
          <w:i/>
          <w:color w:val="000000"/>
          <w:lang w:val="uk-UA"/>
        </w:rPr>
        <w:t>.</w:t>
      </w:r>
    </w:p>
    <w:p w:rsidR="00F73ADD" w:rsidRPr="00AF23F4" w:rsidRDefault="00F73ADD" w:rsidP="00F73ADD">
      <w:pPr>
        <w:contextualSpacing/>
        <w:rPr>
          <w:rFonts w:eastAsia="Times New Roman"/>
          <w:b/>
          <w:color w:val="000000"/>
          <w:lang w:val="uk-UA"/>
        </w:rPr>
      </w:pPr>
    </w:p>
    <w:p w:rsidR="007D26D0" w:rsidRPr="00AF23F4" w:rsidRDefault="007D26D0" w:rsidP="007873BB">
      <w:pPr>
        <w:contextualSpacing/>
        <w:jc w:val="center"/>
        <w:rPr>
          <w:rFonts w:eastAsia="Times New Roman"/>
          <w:b/>
          <w:color w:val="000000"/>
          <w:lang w:val="uk-UA"/>
        </w:rPr>
      </w:pPr>
      <w:r w:rsidRPr="00AF23F4">
        <w:rPr>
          <w:b/>
          <w:lang w:val="uk-UA"/>
        </w:rPr>
        <w:t>Загальні вимоги до предмета закупівлі</w:t>
      </w:r>
    </w:p>
    <w:p w:rsidR="00C6238B" w:rsidRPr="00AF23F4" w:rsidRDefault="00C6238B" w:rsidP="007873BB">
      <w:pPr>
        <w:contextualSpacing/>
        <w:rPr>
          <w:rFonts w:eastAsia="Times New Roman"/>
          <w:b/>
          <w:color w:val="000000"/>
          <w:lang w:val="uk-UA"/>
        </w:rPr>
      </w:pPr>
    </w:p>
    <w:p w:rsidR="007D26D0" w:rsidRPr="00AF23F4" w:rsidRDefault="007D26D0" w:rsidP="007873BB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AF23F4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:rsidR="000C76A6" w:rsidRPr="00AF23F4" w:rsidRDefault="000C76A6" w:rsidP="007873BB">
      <w:pPr>
        <w:ind w:firstLine="708"/>
        <w:contextualSpacing/>
        <w:jc w:val="both"/>
        <w:rPr>
          <w:rFonts w:eastAsia="Times New Roman"/>
          <w:lang w:val="uk-UA"/>
        </w:rPr>
      </w:pPr>
      <w:r w:rsidRPr="00AF23F4">
        <w:rPr>
          <w:rFonts w:eastAsia="Times New Roman"/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:rsidR="000C76A6" w:rsidRPr="00AF23F4" w:rsidRDefault="000C76A6" w:rsidP="007873BB">
      <w:pPr>
        <w:ind w:firstLine="708"/>
        <w:contextualSpacing/>
        <w:jc w:val="both"/>
        <w:rPr>
          <w:rFonts w:eastAsia="Times New Roman"/>
          <w:lang w:val="uk-UA"/>
        </w:rPr>
      </w:pPr>
      <w:r w:rsidRPr="00AF23F4">
        <w:rPr>
          <w:rFonts w:eastAsia="Times New Roman"/>
          <w:lang w:val="uk-UA"/>
        </w:rPr>
        <w:t>1) Довідка в довільній формі про наявність сертифікатів якості та реєстраційних посвідчень на товар</w:t>
      </w:r>
      <w:r w:rsidR="00AD039A">
        <w:rPr>
          <w:rFonts w:eastAsia="Times New Roman"/>
          <w:lang w:val="uk-UA"/>
        </w:rPr>
        <w:t>,</w:t>
      </w:r>
      <w:r w:rsidRPr="00AF23F4">
        <w:rPr>
          <w:rFonts w:eastAsia="Times New Roman"/>
          <w:lang w:val="uk-UA"/>
        </w:rPr>
        <w:t xml:space="preserve"> що пропонується згідно МТВ та надання сертифікатів якості при поставці товару.</w:t>
      </w:r>
    </w:p>
    <w:p w:rsidR="000C76A6" w:rsidRPr="00AF23F4" w:rsidRDefault="000C76A6" w:rsidP="007873BB">
      <w:pPr>
        <w:ind w:firstLine="708"/>
        <w:contextualSpacing/>
        <w:jc w:val="both"/>
        <w:rPr>
          <w:rFonts w:eastAsia="Times New Roman"/>
        </w:rPr>
      </w:pPr>
      <w:r w:rsidRPr="00AF23F4">
        <w:rPr>
          <w:rFonts w:eastAsia="Times New Roman"/>
        </w:rPr>
        <w:t xml:space="preserve">2) </w:t>
      </w:r>
      <w:r w:rsidRPr="00AF23F4">
        <w:rPr>
          <w:rFonts w:eastAsia="Times New Roman"/>
          <w:color w:val="000000"/>
        </w:rPr>
        <w:t>Довідка в довільній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формі про гарантії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належного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терміну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придатності на товари</w:t>
      </w:r>
      <w:r w:rsidRPr="00AF23F4">
        <w:rPr>
          <w:rFonts w:eastAsia="Times New Roman"/>
          <w:color w:val="000000"/>
          <w:lang w:val="uk-UA"/>
        </w:rPr>
        <w:t>,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т</w:t>
      </w:r>
      <w:r w:rsidRPr="00AF23F4">
        <w:rPr>
          <w:rFonts w:eastAsia="Times New Roman"/>
        </w:rPr>
        <w:t>ермін</w:t>
      </w:r>
      <w:r w:rsidR="00AD039A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придатності товару на момент поставки має</w:t>
      </w:r>
      <w:r w:rsidR="00AD039A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становити не менше 80 % від</w:t>
      </w:r>
      <w:r w:rsidR="00AD039A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встановленого</w:t>
      </w:r>
      <w:r w:rsidR="00AD039A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інструкцією</w:t>
      </w:r>
      <w:r w:rsidR="00AD039A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терміну</w:t>
      </w:r>
      <w:r w:rsidR="00AD039A">
        <w:rPr>
          <w:rFonts w:eastAsia="Times New Roman"/>
          <w:lang w:val="uk-UA"/>
        </w:rPr>
        <w:t xml:space="preserve"> </w:t>
      </w:r>
      <w:r w:rsidRPr="00AF23F4">
        <w:rPr>
          <w:rFonts w:eastAsia="Times New Roman"/>
        </w:rPr>
        <w:t>придатності</w:t>
      </w:r>
    </w:p>
    <w:p w:rsidR="000C76A6" w:rsidRPr="00AF23F4" w:rsidRDefault="000C76A6" w:rsidP="007873BB">
      <w:pPr>
        <w:ind w:firstLine="708"/>
        <w:contextualSpacing/>
        <w:jc w:val="both"/>
        <w:rPr>
          <w:rFonts w:eastAsia="Times New Roman"/>
          <w:color w:val="000000"/>
        </w:rPr>
      </w:pPr>
      <w:r w:rsidRPr="00AF23F4">
        <w:rPr>
          <w:rFonts w:eastAsia="Times New Roman"/>
        </w:rPr>
        <w:t>3) К</w:t>
      </w:r>
      <w:r w:rsidRPr="00AF23F4">
        <w:rPr>
          <w:rFonts w:eastAsia="Times New Roman"/>
          <w:color w:val="000000"/>
        </w:rPr>
        <w:t>опія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ліцензії на відповідний вид діяльності (у разі, якщо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це не передбачено</w:t>
      </w:r>
      <w:r w:rsidR="00AD039A">
        <w:rPr>
          <w:rFonts w:eastAsia="Times New Roman"/>
          <w:color w:val="000000"/>
          <w:lang w:val="uk-UA"/>
        </w:rPr>
        <w:t xml:space="preserve"> </w:t>
      </w:r>
      <w:r w:rsidR="00AD039A">
        <w:rPr>
          <w:rFonts w:eastAsia="Times New Roman"/>
          <w:color w:val="000000"/>
        </w:rPr>
        <w:t>чиним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законодавством лист-пояснення про ненадання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відповідного</w:t>
      </w:r>
      <w:r w:rsidR="00AD039A">
        <w:rPr>
          <w:rFonts w:eastAsia="Times New Roman"/>
          <w:color w:val="000000"/>
          <w:lang w:val="uk-UA"/>
        </w:rPr>
        <w:t xml:space="preserve"> документа</w:t>
      </w:r>
      <w:r w:rsidRPr="00AF23F4">
        <w:rPr>
          <w:rFonts w:eastAsia="Times New Roman"/>
          <w:color w:val="000000"/>
        </w:rPr>
        <w:t xml:space="preserve"> </w:t>
      </w:r>
      <w:r w:rsidR="00AD039A">
        <w:rPr>
          <w:rFonts w:eastAsia="Times New Roman"/>
          <w:color w:val="000000"/>
          <w:lang w:val="uk-UA"/>
        </w:rPr>
        <w:t>і</w:t>
      </w:r>
      <w:r w:rsidRPr="00AF23F4">
        <w:rPr>
          <w:rFonts w:eastAsia="Times New Roman"/>
          <w:color w:val="000000"/>
        </w:rPr>
        <w:t>з зазначенням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законодавчих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підстав);</w:t>
      </w:r>
    </w:p>
    <w:p w:rsidR="000C76A6" w:rsidRPr="00AF23F4" w:rsidRDefault="000C76A6" w:rsidP="007873BB">
      <w:pPr>
        <w:ind w:firstLine="708"/>
        <w:contextualSpacing/>
        <w:jc w:val="both"/>
        <w:rPr>
          <w:rFonts w:eastAsia="Times New Roman"/>
          <w:color w:val="000000"/>
        </w:rPr>
      </w:pPr>
      <w:r w:rsidRPr="00AF23F4">
        <w:rPr>
          <w:rFonts w:eastAsia="Times New Roman"/>
          <w:color w:val="000000"/>
        </w:rPr>
        <w:t>4) Спроможність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учасника</w:t>
      </w:r>
      <w:r w:rsidR="00AD039A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поставити товар повинна підтверджуватись документами про якість (сертифікат</w:t>
      </w:r>
      <w:r w:rsidR="00AB4F32">
        <w:rPr>
          <w:rFonts w:eastAsia="Times New Roman"/>
          <w:color w:val="000000"/>
          <w:lang w:val="uk-UA"/>
        </w:rPr>
        <w:t xml:space="preserve"> </w:t>
      </w:r>
      <w:r w:rsidR="00AB4F32">
        <w:rPr>
          <w:rFonts w:eastAsia="Times New Roman"/>
          <w:color w:val="000000"/>
        </w:rPr>
        <w:t>відповідності</w:t>
      </w:r>
      <w:r w:rsidR="00AB4F32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або</w:t>
      </w:r>
      <w:r w:rsidR="00AB4F32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декларацію про відповідність, або</w:t>
      </w:r>
      <w:r w:rsidR="00AB4F32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сертифікат контролю якості, /або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аналітичний</w:t>
      </w:r>
      <w:r w:rsidR="0057504F">
        <w:rPr>
          <w:rFonts w:eastAsia="Times New Roman"/>
          <w:color w:val="000000"/>
          <w:lang w:val="uk-UA"/>
        </w:rPr>
        <w:t xml:space="preserve"> </w:t>
      </w:r>
      <w:r w:rsidR="00281419">
        <w:rPr>
          <w:rFonts w:eastAsia="Times New Roman"/>
          <w:color w:val="000000"/>
        </w:rPr>
        <w:t>паспорт</w:t>
      </w:r>
      <w:r w:rsidR="00281419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або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посвідчення про якість</w:t>
      </w:r>
      <w:r w:rsidR="0057504F">
        <w:rPr>
          <w:rFonts w:eastAsia="Times New Roman"/>
          <w:color w:val="000000"/>
          <w:lang w:val="uk-UA"/>
        </w:rPr>
        <w:t xml:space="preserve">, </w:t>
      </w:r>
      <w:r w:rsidRPr="00AF23F4">
        <w:rPr>
          <w:rFonts w:eastAsia="Times New Roman"/>
          <w:color w:val="000000"/>
        </w:rPr>
        <w:t>або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інші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документи, встановлені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діючим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законодавством для зазначеного товару (на вибір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учасника). Якщо будь-який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із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документів не може бути наданий з причин його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втрати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чинності /або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зміни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форми, назви, тощо /або не передбачений</w:t>
      </w:r>
      <w:r w:rsidR="0057504F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законодавством для такого товару, Учасник</w:t>
      </w:r>
      <w:r w:rsidR="003624B1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надає</w:t>
      </w:r>
      <w:r w:rsidR="003624B1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інший</w:t>
      </w:r>
      <w:r w:rsidR="003624B1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рівнозначний документ або</w:t>
      </w:r>
      <w:r w:rsidR="003624B1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письмове</w:t>
      </w:r>
      <w:r w:rsidR="003624B1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пояснення.</w:t>
      </w:r>
    </w:p>
    <w:p w:rsidR="00C6238B" w:rsidRPr="008113A8" w:rsidRDefault="00C45367" w:rsidP="007873BB">
      <w:pPr>
        <w:ind w:firstLine="708"/>
        <w:contextualSpacing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5</w:t>
      </w:r>
      <w:r w:rsidR="000C76A6" w:rsidRPr="00AF23F4">
        <w:rPr>
          <w:rFonts w:eastAsia="Times New Roman"/>
        </w:rPr>
        <w:t>) З метою запобігання</w:t>
      </w:r>
      <w:r w:rsidR="003624B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закупівлі</w:t>
      </w:r>
      <w:r w:rsidR="003624B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фальсифікатів та отримання</w:t>
      </w:r>
      <w:r w:rsidR="003624B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гарантій на своєчасне</w:t>
      </w:r>
      <w:r w:rsidR="003624B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постачання товару у кількості, якості та з термінами</w:t>
      </w:r>
      <w:r w:rsidR="0073529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придатності, яких</w:t>
      </w:r>
      <w:r w:rsidR="0073529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вимагає</w:t>
      </w:r>
      <w:r w:rsidR="0073529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замовник</w:t>
      </w:r>
      <w:r w:rsidR="0073529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учасник</w:t>
      </w:r>
      <w:r w:rsidR="0073529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надає</w:t>
      </w:r>
      <w:r w:rsidR="0073529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гарантійний лист виробника</w:t>
      </w:r>
      <w:r w:rsidR="0073529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або</w:t>
      </w:r>
      <w:r w:rsidR="0073529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представництва, представника, дилера, дистриб'ютора (уповноваженого на це</w:t>
      </w:r>
      <w:r w:rsidR="0073529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виробником, якщо</w:t>
      </w:r>
      <w:r w:rsidR="0073529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їх</w:t>
      </w:r>
      <w:r w:rsidR="0073529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відповідні</w:t>
      </w:r>
      <w:r w:rsidR="0073529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повноваження</w:t>
      </w:r>
      <w:r w:rsidR="00735291">
        <w:rPr>
          <w:rFonts w:eastAsia="Times New Roman"/>
          <w:lang w:val="uk-UA"/>
        </w:rPr>
        <w:t xml:space="preserve"> </w:t>
      </w:r>
      <w:r w:rsidR="000C76A6" w:rsidRPr="00AF23F4">
        <w:rPr>
          <w:rFonts w:eastAsia="Times New Roman"/>
        </w:rPr>
        <w:t>поширюються на територію</w:t>
      </w:r>
      <w:r w:rsidR="008113A8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України), яким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підтверджується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можливість поставки запропонованого товару, який є предметом закупівлі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цих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торгів та пропонується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учасником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із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зазначенням: повної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назви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учасника, повної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назви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Замовника, назви предмету закупівлі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згідно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оголошення, № оголошення про проведення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процедури</w:t>
      </w:r>
      <w:r w:rsidR="00735291">
        <w:rPr>
          <w:rFonts w:eastAsia="Times New Roman"/>
          <w:lang w:val="uk-UA"/>
        </w:rPr>
        <w:t xml:space="preserve"> </w:t>
      </w:r>
      <w:r w:rsidR="000C76A6" w:rsidRPr="008113A8">
        <w:rPr>
          <w:rFonts w:eastAsia="Times New Roman"/>
          <w:lang w:val="uk-UA"/>
        </w:rPr>
        <w:t>закупівлі.</w:t>
      </w:r>
    </w:p>
    <w:bookmarkEnd w:id="0"/>
    <w:p w:rsidR="00F50B6B" w:rsidRPr="00F50B6B" w:rsidRDefault="00C45367" w:rsidP="00C4536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lang w:eastAsia="uk-UA"/>
        </w:rPr>
      </w:pPr>
      <w:r>
        <w:rPr>
          <w:color w:val="000000"/>
          <w:lang w:val="uk-UA" w:eastAsia="uk-UA"/>
        </w:rPr>
        <w:t xml:space="preserve">6) </w:t>
      </w:r>
      <w:r w:rsidR="00F50B6B" w:rsidRPr="00F50B6B">
        <w:rPr>
          <w:color w:val="000000"/>
          <w:lang w:eastAsia="uk-UA"/>
        </w:rPr>
        <w:t>Вироби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медичного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призначення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мають бути дозволені для застосування на території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України та внесені до Державного реєстру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медичної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техніки та виробів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медичного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призначення. Для підтвердження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цього факту учаснику в складі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пропозицій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конкурсних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торгів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необхідно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надати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копію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свідоцтва про державну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реєстрацію на території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України (з додатками) — для виробів, які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пройшли процедуру державної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реєстрації в установленому порядку або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декларацію про відповідність — для медичних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виробів, які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пройшли процедуру оцінки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відповідності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згідно з Технічним регламентом щодо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медичних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виробів, затвердженим</w:t>
      </w:r>
      <w:r w:rsidR="00BE331E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постановою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Кабінету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Міністрів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>України</w:t>
      </w:r>
      <w:r w:rsidR="00F50B6B" w:rsidRPr="00F50B6B">
        <w:rPr>
          <w:color w:val="000000"/>
          <w:lang w:val="uk-UA" w:eastAsia="uk-UA"/>
        </w:rPr>
        <w:t xml:space="preserve"> </w:t>
      </w:r>
      <w:r w:rsidR="00F50B6B" w:rsidRPr="00F50B6B">
        <w:rPr>
          <w:color w:val="000000"/>
          <w:lang w:eastAsia="uk-UA"/>
        </w:rPr>
        <w:t xml:space="preserve">від 2 жовтня 2013 р. № 753. </w:t>
      </w:r>
    </w:p>
    <w:p w:rsidR="00F50B6B" w:rsidRPr="00F50B6B" w:rsidRDefault="00F50B6B" w:rsidP="00C45367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lang w:eastAsia="uk-UA"/>
        </w:rPr>
      </w:pPr>
      <w:r w:rsidRPr="00F50B6B">
        <w:rPr>
          <w:bCs/>
          <w:color w:val="000000"/>
          <w:lang w:eastAsia="uk-UA"/>
        </w:rPr>
        <w:t>Документи, що</w:t>
      </w:r>
      <w:r w:rsidRPr="00F50B6B">
        <w:rPr>
          <w:bCs/>
          <w:color w:val="000000"/>
          <w:lang w:val="uk-UA" w:eastAsia="uk-UA"/>
        </w:rPr>
        <w:t xml:space="preserve"> </w:t>
      </w:r>
      <w:r w:rsidRPr="00F50B6B">
        <w:rPr>
          <w:bCs/>
          <w:color w:val="000000"/>
          <w:lang w:eastAsia="uk-UA"/>
        </w:rPr>
        <w:t>підтверджують</w:t>
      </w:r>
      <w:r w:rsidRPr="00F50B6B">
        <w:rPr>
          <w:bCs/>
          <w:color w:val="000000"/>
          <w:lang w:val="uk-UA" w:eastAsia="uk-UA"/>
        </w:rPr>
        <w:t xml:space="preserve"> </w:t>
      </w:r>
      <w:r w:rsidRPr="00F50B6B">
        <w:rPr>
          <w:bCs/>
          <w:color w:val="000000"/>
          <w:lang w:eastAsia="uk-UA"/>
        </w:rPr>
        <w:t>відповідність</w:t>
      </w:r>
      <w:r w:rsidRPr="00F50B6B">
        <w:rPr>
          <w:bCs/>
          <w:color w:val="000000"/>
          <w:lang w:val="uk-UA" w:eastAsia="uk-UA"/>
        </w:rPr>
        <w:t xml:space="preserve"> </w:t>
      </w:r>
      <w:r w:rsidRPr="00F50B6B">
        <w:rPr>
          <w:bCs/>
          <w:color w:val="000000"/>
          <w:lang w:eastAsia="uk-UA"/>
        </w:rPr>
        <w:t>якості товару: в складі</w:t>
      </w:r>
      <w:r w:rsidRPr="00F50B6B">
        <w:rPr>
          <w:bCs/>
          <w:color w:val="000000"/>
          <w:lang w:val="uk-UA" w:eastAsia="uk-UA"/>
        </w:rPr>
        <w:t xml:space="preserve"> </w:t>
      </w:r>
      <w:r w:rsidRPr="00F50B6B">
        <w:rPr>
          <w:bCs/>
          <w:color w:val="000000"/>
          <w:lang w:eastAsia="uk-UA"/>
        </w:rPr>
        <w:t>пропозиції</w:t>
      </w:r>
      <w:r w:rsidRPr="00F50B6B">
        <w:rPr>
          <w:bCs/>
          <w:color w:val="000000"/>
          <w:lang w:val="uk-UA" w:eastAsia="uk-UA"/>
        </w:rPr>
        <w:t xml:space="preserve"> </w:t>
      </w:r>
      <w:r w:rsidRPr="00F50B6B">
        <w:rPr>
          <w:bCs/>
          <w:color w:val="000000"/>
          <w:lang w:eastAsia="uk-UA"/>
        </w:rPr>
        <w:t>конкурсних</w:t>
      </w:r>
      <w:r w:rsidRPr="00F50B6B">
        <w:rPr>
          <w:bCs/>
          <w:color w:val="000000"/>
          <w:lang w:val="uk-UA" w:eastAsia="uk-UA"/>
        </w:rPr>
        <w:t xml:space="preserve"> </w:t>
      </w:r>
      <w:r w:rsidRPr="00F50B6B">
        <w:rPr>
          <w:bCs/>
          <w:color w:val="000000"/>
          <w:lang w:eastAsia="uk-UA"/>
        </w:rPr>
        <w:t>торгів</w:t>
      </w:r>
      <w:r w:rsidRPr="00F50B6B">
        <w:rPr>
          <w:bCs/>
          <w:color w:val="000000"/>
          <w:lang w:val="uk-UA" w:eastAsia="uk-UA"/>
        </w:rPr>
        <w:t xml:space="preserve"> </w:t>
      </w:r>
      <w:r w:rsidRPr="00F50B6B">
        <w:rPr>
          <w:bCs/>
          <w:color w:val="000000"/>
          <w:lang w:eastAsia="uk-UA"/>
        </w:rPr>
        <w:t>учасник</w:t>
      </w:r>
      <w:r w:rsidRPr="00F50B6B">
        <w:rPr>
          <w:bCs/>
          <w:color w:val="000000"/>
          <w:lang w:val="uk-UA" w:eastAsia="uk-UA"/>
        </w:rPr>
        <w:t xml:space="preserve"> </w:t>
      </w:r>
      <w:r w:rsidRPr="00F50B6B">
        <w:rPr>
          <w:bCs/>
          <w:color w:val="000000"/>
          <w:lang w:eastAsia="uk-UA"/>
        </w:rPr>
        <w:t>надає</w:t>
      </w:r>
      <w:r w:rsidRPr="00F50B6B">
        <w:rPr>
          <w:bCs/>
          <w:color w:val="000000"/>
          <w:lang w:val="uk-UA" w:eastAsia="uk-UA"/>
        </w:rPr>
        <w:t xml:space="preserve"> </w:t>
      </w:r>
      <w:r w:rsidRPr="00F50B6B">
        <w:rPr>
          <w:bCs/>
          <w:color w:val="000000"/>
          <w:lang w:eastAsia="uk-UA"/>
        </w:rPr>
        <w:t>копію</w:t>
      </w:r>
      <w:r w:rsidRPr="00F50B6B">
        <w:rPr>
          <w:bCs/>
          <w:color w:val="000000"/>
          <w:lang w:val="uk-UA" w:eastAsia="uk-UA"/>
        </w:rPr>
        <w:t xml:space="preserve"> </w:t>
      </w:r>
      <w:r w:rsidRPr="00F50B6B">
        <w:rPr>
          <w:bCs/>
          <w:color w:val="000000"/>
          <w:lang w:eastAsia="uk-UA"/>
        </w:rPr>
        <w:t>сертифікату</w:t>
      </w:r>
      <w:r w:rsidRPr="00F50B6B">
        <w:rPr>
          <w:bCs/>
          <w:color w:val="000000"/>
          <w:lang w:val="uk-UA" w:eastAsia="uk-UA"/>
        </w:rPr>
        <w:t xml:space="preserve"> </w:t>
      </w:r>
      <w:r w:rsidRPr="00F50B6B">
        <w:rPr>
          <w:bCs/>
          <w:color w:val="000000"/>
          <w:lang w:eastAsia="uk-UA"/>
        </w:rPr>
        <w:t>відповідності, або</w:t>
      </w:r>
      <w:r w:rsidRPr="00F50B6B">
        <w:rPr>
          <w:bCs/>
          <w:color w:val="000000"/>
          <w:lang w:val="uk-UA" w:eastAsia="uk-UA"/>
        </w:rPr>
        <w:t xml:space="preserve"> </w:t>
      </w:r>
      <w:r w:rsidRPr="00F50B6B">
        <w:rPr>
          <w:bCs/>
          <w:color w:val="000000"/>
          <w:lang w:eastAsia="uk-UA"/>
        </w:rPr>
        <w:t>копію паспорту якості  на товар з урахуванням того, що</w:t>
      </w:r>
      <w:r w:rsidRPr="00F50B6B">
        <w:rPr>
          <w:bCs/>
          <w:color w:val="000000"/>
          <w:lang w:val="uk-UA" w:eastAsia="uk-UA"/>
        </w:rPr>
        <w:t xml:space="preserve"> </w:t>
      </w:r>
      <w:r w:rsidRPr="00F50B6B">
        <w:rPr>
          <w:bCs/>
          <w:color w:val="000000"/>
          <w:lang w:eastAsia="uk-UA"/>
        </w:rPr>
        <w:t>т</w:t>
      </w:r>
      <w:r w:rsidRPr="00F50B6B">
        <w:rPr>
          <w:color w:val="000000"/>
          <w:lang w:eastAsia="uk-UA"/>
        </w:rPr>
        <w:t>ехнічні, якісні характеристики товару за предметом закупівлі</w:t>
      </w:r>
      <w:r w:rsidRPr="00F50B6B">
        <w:rPr>
          <w:color w:val="000000"/>
          <w:lang w:val="uk-UA" w:eastAsia="uk-UA"/>
        </w:rPr>
        <w:t xml:space="preserve"> </w:t>
      </w:r>
      <w:r w:rsidRPr="00F50B6B">
        <w:rPr>
          <w:color w:val="000000"/>
          <w:lang w:eastAsia="uk-UA"/>
        </w:rPr>
        <w:lastRenderedPageBreak/>
        <w:t>повинні</w:t>
      </w:r>
      <w:r w:rsidRPr="00F50B6B">
        <w:rPr>
          <w:color w:val="000000"/>
          <w:lang w:val="uk-UA" w:eastAsia="uk-UA"/>
        </w:rPr>
        <w:t xml:space="preserve"> </w:t>
      </w:r>
      <w:r w:rsidRPr="00F50B6B">
        <w:rPr>
          <w:color w:val="000000"/>
          <w:lang w:eastAsia="uk-UA"/>
        </w:rPr>
        <w:t>відповідати</w:t>
      </w:r>
      <w:r w:rsidRPr="00F50B6B">
        <w:rPr>
          <w:color w:val="000000"/>
          <w:lang w:val="uk-UA" w:eastAsia="uk-UA"/>
        </w:rPr>
        <w:t xml:space="preserve"> </w:t>
      </w:r>
      <w:r w:rsidRPr="00F50B6B">
        <w:rPr>
          <w:color w:val="000000"/>
          <w:lang w:eastAsia="uk-UA"/>
        </w:rPr>
        <w:t>встановленим/зареєстрованим</w:t>
      </w:r>
      <w:r w:rsidRPr="00F50B6B">
        <w:rPr>
          <w:color w:val="000000"/>
          <w:lang w:val="uk-UA" w:eastAsia="uk-UA"/>
        </w:rPr>
        <w:t xml:space="preserve"> </w:t>
      </w:r>
      <w:r w:rsidRPr="00F50B6B">
        <w:rPr>
          <w:color w:val="000000"/>
          <w:lang w:eastAsia="uk-UA"/>
        </w:rPr>
        <w:t>діючим</w:t>
      </w:r>
      <w:r w:rsidRPr="00F50B6B">
        <w:rPr>
          <w:color w:val="000000"/>
          <w:lang w:val="uk-UA" w:eastAsia="uk-UA"/>
        </w:rPr>
        <w:t xml:space="preserve"> </w:t>
      </w:r>
      <w:r w:rsidRPr="00F50B6B">
        <w:rPr>
          <w:color w:val="000000"/>
          <w:lang w:eastAsia="uk-UA"/>
        </w:rPr>
        <w:t xml:space="preserve">нормативним актам </w:t>
      </w:r>
      <w:r w:rsidRPr="00F50B6B">
        <w:rPr>
          <w:color w:val="000000"/>
          <w:lang w:val="uk-UA" w:eastAsia="uk-UA"/>
        </w:rPr>
        <w:t xml:space="preserve">чинного </w:t>
      </w:r>
      <w:r w:rsidRPr="00F50B6B">
        <w:rPr>
          <w:color w:val="000000"/>
          <w:lang w:eastAsia="uk-UA"/>
        </w:rPr>
        <w:t>законодавства (державним стандартам (технічним</w:t>
      </w:r>
      <w:r w:rsidRPr="00F50B6B">
        <w:rPr>
          <w:color w:val="000000"/>
          <w:lang w:val="uk-UA" w:eastAsia="uk-UA"/>
        </w:rPr>
        <w:t xml:space="preserve"> </w:t>
      </w:r>
      <w:r w:rsidRPr="00F50B6B">
        <w:rPr>
          <w:color w:val="000000"/>
          <w:lang w:eastAsia="uk-UA"/>
        </w:rPr>
        <w:t>умовам) ДСТУ.</w:t>
      </w:r>
    </w:p>
    <w:p w:rsidR="00F50B6B" w:rsidRPr="00F50B6B" w:rsidRDefault="00F50B6B" w:rsidP="00F50B6B">
      <w:pPr>
        <w:autoSpaceDE w:val="0"/>
        <w:autoSpaceDN w:val="0"/>
        <w:adjustRightInd w:val="0"/>
        <w:contextualSpacing/>
        <w:jc w:val="both"/>
        <w:rPr>
          <w:color w:val="000000"/>
          <w:lang w:eastAsia="uk-UA"/>
        </w:rPr>
      </w:pPr>
      <w:r w:rsidRPr="00F50B6B">
        <w:rPr>
          <w:color w:val="000000"/>
          <w:lang w:eastAsia="uk-UA"/>
        </w:rPr>
        <w:tab/>
        <w:t>Зазначені</w:t>
      </w:r>
      <w:r w:rsidRPr="00F50B6B">
        <w:rPr>
          <w:color w:val="000000"/>
          <w:lang w:val="uk-UA" w:eastAsia="uk-UA"/>
        </w:rPr>
        <w:t xml:space="preserve"> </w:t>
      </w:r>
      <w:r w:rsidRPr="00F50B6B">
        <w:rPr>
          <w:color w:val="000000"/>
          <w:lang w:eastAsia="uk-UA"/>
        </w:rPr>
        <w:t>найменуван</w:t>
      </w:r>
      <w:r w:rsidRPr="00F50B6B">
        <w:rPr>
          <w:color w:val="000000"/>
          <w:lang w:val="uk-UA" w:eastAsia="uk-UA"/>
        </w:rPr>
        <w:t>ня</w:t>
      </w:r>
      <w:r w:rsidRPr="00F50B6B">
        <w:rPr>
          <w:color w:val="000000"/>
          <w:lang w:eastAsia="uk-UA"/>
        </w:rPr>
        <w:t xml:space="preserve"> та кількість товару не віднос</w:t>
      </w:r>
      <w:r w:rsidRPr="00F50B6B">
        <w:rPr>
          <w:color w:val="000000"/>
          <w:lang w:val="uk-UA" w:eastAsia="uk-UA"/>
        </w:rPr>
        <w:t>я</w:t>
      </w:r>
      <w:r w:rsidRPr="00F50B6B">
        <w:rPr>
          <w:color w:val="000000"/>
          <w:lang w:eastAsia="uk-UA"/>
        </w:rPr>
        <w:t>ть до разової поставки. Поставка повинна здійсн</w:t>
      </w:r>
      <w:r w:rsidRPr="00F50B6B">
        <w:rPr>
          <w:color w:val="000000"/>
          <w:lang w:val="uk-UA" w:eastAsia="uk-UA"/>
        </w:rPr>
        <w:t>юватись до 31 грудня</w:t>
      </w:r>
      <w:r w:rsidRPr="00F50B6B">
        <w:rPr>
          <w:color w:val="000000"/>
          <w:lang w:eastAsia="uk-UA"/>
        </w:rPr>
        <w:t xml:space="preserve"> 20</w:t>
      </w:r>
      <w:r w:rsidRPr="00F50B6B">
        <w:rPr>
          <w:color w:val="000000"/>
          <w:lang w:val="uk-UA" w:eastAsia="uk-UA"/>
        </w:rPr>
        <w:t>2</w:t>
      </w:r>
      <w:r w:rsidR="00C45367">
        <w:rPr>
          <w:color w:val="000000"/>
          <w:lang w:val="uk-UA" w:eastAsia="uk-UA"/>
        </w:rPr>
        <w:t>3</w:t>
      </w:r>
      <w:r w:rsidRPr="00F50B6B">
        <w:rPr>
          <w:color w:val="000000"/>
          <w:lang w:eastAsia="uk-UA"/>
        </w:rPr>
        <w:t xml:space="preserve"> року,</w:t>
      </w:r>
      <w:r w:rsidRPr="00F50B6B">
        <w:rPr>
          <w:color w:val="000000"/>
          <w:lang w:val="uk-UA" w:eastAsia="uk-UA"/>
        </w:rPr>
        <w:t xml:space="preserve"> </w:t>
      </w:r>
      <w:r w:rsidRPr="00F50B6B">
        <w:rPr>
          <w:color w:val="000000"/>
          <w:lang w:eastAsia="uk-UA"/>
        </w:rPr>
        <w:t>до п'яти</w:t>
      </w:r>
      <w:r w:rsidRPr="00F50B6B">
        <w:rPr>
          <w:color w:val="000000"/>
          <w:lang w:val="uk-UA" w:eastAsia="uk-UA"/>
        </w:rPr>
        <w:t xml:space="preserve"> </w:t>
      </w:r>
      <w:r w:rsidRPr="00F50B6B">
        <w:rPr>
          <w:color w:val="000000"/>
          <w:lang w:eastAsia="uk-UA"/>
        </w:rPr>
        <w:t>днів з моменту отримання</w:t>
      </w:r>
      <w:r w:rsidRPr="00F50B6B">
        <w:rPr>
          <w:color w:val="000000"/>
          <w:lang w:val="uk-UA" w:eastAsia="uk-UA"/>
        </w:rPr>
        <w:t xml:space="preserve"> </w:t>
      </w:r>
      <w:r w:rsidRPr="00F50B6B">
        <w:rPr>
          <w:color w:val="000000"/>
          <w:lang w:eastAsia="uk-UA"/>
        </w:rPr>
        <w:t xml:space="preserve">письмової заявки </w:t>
      </w:r>
      <w:r w:rsidRPr="00F50B6B">
        <w:rPr>
          <w:color w:val="000000"/>
          <w:lang w:val="uk-UA" w:eastAsia="uk-UA"/>
        </w:rPr>
        <w:t xml:space="preserve">Замовника </w:t>
      </w:r>
      <w:r w:rsidRPr="00F50B6B">
        <w:rPr>
          <w:color w:val="000000"/>
          <w:lang w:eastAsia="uk-UA"/>
        </w:rPr>
        <w:t>про необхідну</w:t>
      </w:r>
      <w:r w:rsidRPr="00F50B6B">
        <w:rPr>
          <w:color w:val="000000"/>
          <w:lang w:val="uk-UA" w:eastAsia="uk-UA"/>
        </w:rPr>
        <w:t xml:space="preserve"> </w:t>
      </w:r>
      <w:r w:rsidRPr="00F50B6B">
        <w:rPr>
          <w:color w:val="000000"/>
          <w:lang w:eastAsia="uk-UA"/>
        </w:rPr>
        <w:t xml:space="preserve">кількість. </w:t>
      </w:r>
    </w:p>
    <w:p w:rsidR="00F50B6B" w:rsidRPr="00F50B6B" w:rsidRDefault="00F50B6B" w:rsidP="00F50B6B">
      <w:pPr>
        <w:autoSpaceDE w:val="0"/>
        <w:autoSpaceDN w:val="0"/>
        <w:adjustRightInd w:val="0"/>
        <w:contextualSpacing/>
        <w:jc w:val="both"/>
        <w:rPr>
          <w:b/>
          <w:lang w:val="uk-UA"/>
        </w:rPr>
      </w:pPr>
    </w:p>
    <w:p w:rsidR="00C66E6E" w:rsidRPr="00FA33CF" w:rsidRDefault="00281419" w:rsidP="007873BB">
      <w:pPr>
        <w:contextualSpacing/>
        <w:rPr>
          <w:b/>
          <w:lang w:val="uk-UA"/>
        </w:rPr>
      </w:pPr>
      <w:bookmarkStart w:id="1" w:name="_Hlk89941240"/>
      <w:r w:rsidRPr="007A43AE">
        <w:rPr>
          <w:b/>
          <w:color w:val="000000" w:themeColor="text1"/>
        </w:rPr>
        <w:t>Пристрої для лікування</w:t>
      </w:r>
      <w:r>
        <w:rPr>
          <w:b/>
          <w:color w:val="000000" w:themeColor="text1"/>
          <w:lang w:val="uk-UA"/>
        </w:rPr>
        <w:t xml:space="preserve"> </w:t>
      </w:r>
      <w:r w:rsidRPr="007A43AE">
        <w:rPr>
          <w:b/>
          <w:color w:val="000000" w:themeColor="text1"/>
        </w:rPr>
        <w:t>переломів, спиці та пластини</w:t>
      </w:r>
    </w:p>
    <w:p w:rsidR="008D5BB1" w:rsidRPr="00AF23F4" w:rsidRDefault="008D5BB1" w:rsidP="007873BB">
      <w:pPr>
        <w:contextualSpacing/>
        <w:rPr>
          <w:rFonts w:eastAsia="Times New Roman"/>
          <w:b/>
          <w:bCs/>
          <w:color w:val="000000"/>
          <w:lang w:val="uk-UA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8"/>
        <w:gridCol w:w="850"/>
        <w:gridCol w:w="567"/>
        <w:gridCol w:w="1701"/>
      </w:tblGrid>
      <w:tr w:rsidR="00151385" w:rsidRPr="00AF23F4" w:rsidTr="006D2EC0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51385" w:rsidRPr="00AF23F4" w:rsidRDefault="00151385" w:rsidP="007873BB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AF23F4">
              <w:rPr>
                <w:rFonts w:eastAsia="Times New Roman"/>
                <w:b/>
                <w:color w:val="000000" w:themeColor="text1"/>
                <w:lang w:val="uk-UA" w:eastAsia="zh-CN"/>
              </w:rPr>
              <w:t>№ п/п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:rsidR="00151385" w:rsidRPr="00AF23F4" w:rsidRDefault="00151385" w:rsidP="007873BB">
            <w:pPr>
              <w:suppressAutoHyphens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AF23F4">
              <w:rPr>
                <w:rFonts w:eastAsia="Times New Roman"/>
                <w:b/>
                <w:color w:val="000000" w:themeColor="text1"/>
                <w:lang w:val="uk-UA" w:eastAsia="zh-CN"/>
              </w:rPr>
              <w:t>Технічні характеристики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151385" w:rsidRPr="00AF23F4" w:rsidRDefault="00151385" w:rsidP="007873BB">
            <w:pPr>
              <w:suppressAutoHyphens/>
              <w:ind w:left="-108" w:right="-108"/>
              <w:contextualSpacing/>
              <w:jc w:val="center"/>
              <w:rPr>
                <w:rFonts w:eastAsia="Times New Roman"/>
                <w:b/>
                <w:color w:val="000000" w:themeColor="text1"/>
                <w:lang w:val="uk-UA" w:eastAsia="zh-CN"/>
              </w:rPr>
            </w:pPr>
            <w:r w:rsidRPr="00AF23F4">
              <w:rPr>
                <w:rFonts w:eastAsia="Times New Roman"/>
                <w:b/>
                <w:color w:val="000000" w:themeColor="text1"/>
                <w:lang w:val="uk-UA" w:eastAsia="zh-CN"/>
              </w:rPr>
              <w:t>Кіль</w:t>
            </w:r>
            <w:r w:rsidR="006D2EC0">
              <w:rPr>
                <w:rFonts w:eastAsia="Times New Roman"/>
                <w:b/>
                <w:color w:val="000000" w:themeColor="text1"/>
                <w:lang w:val="uk-UA" w:eastAsia="zh-CN"/>
              </w:rPr>
              <w:t>-</w:t>
            </w:r>
            <w:r w:rsidRPr="00AF23F4">
              <w:rPr>
                <w:rFonts w:eastAsia="Times New Roman"/>
                <w:b/>
                <w:color w:val="000000" w:themeColor="text1"/>
                <w:lang w:val="uk-UA" w:eastAsia="zh-CN"/>
              </w:rPr>
              <w:t xml:space="preserve">кість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51385" w:rsidRPr="00AF23F4" w:rsidRDefault="00151385" w:rsidP="007873BB">
            <w:pPr>
              <w:ind w:left="-108" w:right="-108"/>
              <w:contextualSpacing/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AF23F4">
              <w:rPr>
                <w:b/>
                <w:color w:val="000000" w:themeColor="text1"/>
                <w:lang w:val="uk-UA"/>
              </w:rPr>
              <w:t>Од.</w:t>
            </w:r>
            <w:r w:rsidR="006D2EC0">
              <w:rPr>
                <w:b/>
                <w:color w:val="000000" w:themeColor="text1"/>
                <w:lang w:val="uk-UA"/>
              </w:rPr>
              <w:t xml:space="preserve"> </w:t>
            </w:r>
            <w:r w:rsidRPr="00AF23F4">
              <w:rPr>
                <w:b/>
                <w:color w:val="000000" w:themeColor="text1"/>
                <w:lang w:val="uk-UA"/>
              </w:rPr>
              <w:t>вим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51385" w:rsidRPr="00AF23F4" w:rsidRDefault="00151385" w:rsidP="007873BB">
            <w:pPr>
              <w:ind w:left="-108" w:right="-108"/>
              <w:contextualSpacing/>
              <w:jc w:val="center"/>
              <w:rPr>
                <w:b/>
                <w:color w:val="FFFFFF" w:themeColor="background1"/>
                <w:lang w:val="uk-UA" w:eastAsia="en-US"/>
              </w:rPr>
            </w:pPr>
            <w:r w:rsidRPr="00AF23F4">
              <w:rPr>
                <w:rFonts w:eastAsia="Times New Roman"/>
                <w:b/>
                <w:color w:val="000000" w:themeColor="text1"/>
                <w:lang w:val="uk-UA" w:eastAsia="en-US"/>
              </w:rPr>
              <w:t>Відповідність (заповнюється учасником), так/ні</w:t>
            </w:r>
          </w:p>
        </w:tc>
      </w:tr>
      <w:tr w:rsidR="00281419" w:rsidRPr="00AF23F4" w:rsidTr="0052614E">
        <w:tc>
          <w:tcPr>
            <w:tcW w:w="709" w:type="dxa"/>
          </w:tcPr>
          <w:p w:rsidR="00281419" w:rsidRPr="009F60EB" w:rsidRDefault="00281419" w:rsidP="009F60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</w:tcPr>
          <w:p w:rsidR="00281419" w:rsidRPr="00867A15" w:rsidRDefault="00281419" w:rsidP="007A0D4C">
            <w:pPr>
              <w:rPr>
                <w:b/>
                <w:color w:val="000000" w:themeColor="text1"/>
                <w:lang w:val="uk-UA"/>
              </w:rPr>
            </w:pPr>
            <w:r w:rsidRPr="00867A15">
              <w:rPr>
                <w:b/>
                <w:color w:val="000000" w:themeColor="text1"/>
                <w:lang w:val="uk-UA"/>
              </w:rPr>
              <w:t>Спиця для скелетного витягування Кішнерадіам. 1,5мм * 310 мм</w:t>
            </w:r>
            <w:r w:rsidR="00A618EE">
              <w:rPr>
                <w:b/>
                <w:color w:val="000000" w:themeColor="text1"/>
                <w:lang w:val="uk-UA"/>
              </w:rPr>
              <w:t>.</w:t>
            </w:r>
          </w:p>
          <w:p w:rsidR="00281419" w:rsidRPr="00867A15" w:rsidRDefault="00281419" w:rsidP="007A0D4C">
            <w:pPr>
              <w:rPr>
                <w:color w:val="000000" w:themeColor="text1"/>
              </w:rPr>
            </w:pPr>
            <w:r w:rsidRPr="00867A15">
              <w:rPr>
                <w:color w:val="000000" w:themeColor="text1"/>
              </w:rPr>
              <w:t>Спиця для скелетного витягування</w:t>
            </w:r>
            <w:r w:rsidR="00A618EE">
              <w:rPr>
                <w:color w:val="000000" w:themeColor="text1"/>
                <w:lang w:val="uk-UA"/>
              </w:rPr>
              <w:t xml:space="preserve"> </w:t>
            </w:r>
            <w:r w:rsidRPr="00867A15">
              <w:rPr>
                <w:color w:val="000000" w:themeColor="text1"/>
              </w:rPr>
              <w:t>Кіршнера. Повинна бути виготовлена з нержавіючої</w:t>
            </w:r>
            <w:r w:rsidR="00A618EE">
              <w:rPr>
                <w:color w:val="000000" w:themeColor="text1"/>
                <w:lang w:val="uk-UA"/>
              </w:rPr>
              <w:t xml:space="preserve"> </w:t>
            </w:r>
            <w:r w:rsidRPr="00867A15">
              <w:rPr>
                <w:color w:val="000000" w:themeColor="text1"/>
              </w:rPr>
              <w:t>сталі. Повинна мати</w:t>
            </w:r>
            <w:r w:rsidR="00A618EE">
              <w:rPr>
                <w:color w:val="000000" w:themeColor="text1"/>
                <w:lang w:val="uk-UA"/>
              </w:rPr>
              <w:t xml:space="preserve"> </w:t>
            </w:r>
            <w:r w:rsidRPr="00867A15">
              <w:rPr>
                <w:color w:val="000000" w:themeColor="text1"/>
              </w:rPr>
              <w:t>діаметр 1,5 мм. Повинна мати</w:t>
            </w:r>
            <w:r w:rsidR="00A618EE">
              <w:rPr>
                <w:color w:val="000000" w:themeColor="text1"/>
                <w:lang w:val="uk-UA"/>
              </w:rPr>
              <w:t xml:space="preserve"> </w:t>
            </w:r>
            <w:r w:rsidRPr="00867A15">
              <w:rPr>
                <w:color w:val="000000" w:themeColor="text1"/>
              </w:rPr>
              <w:t>довжину 31 см.</w:t>
            </w:r>
          </w:p>
        </w:tc>
        <w:tc>
          <w:tcPr>
            <w:tcW w:w="850" w:type="dxa"/>
          </w:tcPr>
          <w:p w:rsidR="00281419" w:rsidRPr="00867A15" w:rsidRDefault="00281419" w:rsidP="007A0D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7A15">
              <w:rPr>
                <w:b/>
                <w:color w:val="000000" w:themeColor="text1"/>
                <w:lang w:val="uk-UA"/>
              </w:rPr>
              <w:t>250</w:t>
            </w:r>
          </w:p>
        </w:tc>
        <w:tc>
          <w:tcPr>
            <w:tcW w:w="567" w:type="dxa"/>
          </w:tcPr>
          <w:p w:rsidR="00281419" w:rsidRPr="00867A15" w:rsidRDefault="00281419" w:rsidP="007A0D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7A15">
              <w:rPr>
                <w:b/>
                <w:color w:val="000000" w:themeColor="text1"/>
                <w:lang w:val="uk-UA"/>
              </w:rPr>
              <w:t>шт</w:t>
            </w:r>
          </w:p>
        </w:tc>
        <w:tc>
          <w:tcPr>
            <w:tcW w:w="1701" w:type="dxa"/>
          </w:tcPr>
          <w:p w:rsidR="00281419" w:rsidRPr="00AF23F4" w:rsidRDefault="00281419" w:rsidP="007873BB">
            <w:pPr>
              <w:contextualSpacing/>
              <w:rPr>
                <w:b/>
                <w:lang w:val="uk-UA"/>
              </w:rPr>
            </w:pPr>
          </w:p>
        </w:tc>
      </w:tr>
      <w:tr w:rsidR="00281419" w:rsidRPr="00AF23F4" w:rsidTr="0052614E">
        <w:tc>
          <w:tcPr>
            <w:tcW w:w="709" w:type="dxa"/>
          </w:tcPr>
          <w:p w:rsidR="00281419" w:rsidRPr="009F60EB" w:rsidRDefault="00281419" w:rsidP="009F60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</w:tcPr>
          <w:p w:rsidR="00281419" w:rsidRPr="00867A15" w:rsidRDefault="00281419" w:rsidP="007A0D4C">
            <w:pPr>
              <w:rPr>
                <w:b/>
                <w:color w:val="000000" w:themeColor="text1"/>
                <w:lang w:val="uk-UA"/>
              </w:rPr>
            </w:pPr>
            <w:r w:rsidRPr="00867A15">
              <w:rPr>
                <w:b/>
                <w:color w:val="000000" w:themeColor="text1"/>
                <w:lang w:val="uk-UA"/>
              </w:rPr>
              <w:t>Спиця для скелетного витягування Єлізарова діам. 2,5мм * 310 мм</w:t>
            </w:r>
            <w:r w:rsidR="00A618EE">
              <w:rPr>
                <w:b/>
                <w:color w:val="000000" w:themeColor="text1"/>
                <w:lang w:val="uk-UA"/>
              </w:rPr>
              <w:t>.</w:t>
            </w:r>
          </w:p>
          <w:p w:rsidR="00281419" w:rsidRPr="00867A15" w:rsidRDefault="00281419" w:rsidP="007A0D4C">
            <w:pPr>
              <w:rPr>
                <w:color w:val="000000" w:themeColor="text1"/>
                <w:lang w:val="uk-UA"/>
              </w:rPr>
            </w:pPr>
            <w:r w:rsidRPr="00867A15">
              <w:rPr>
                <w:color w:val="000000" w:themeColor="text1"/>
              </w:rPr>
              <w:t>С</w:t>
            </w:r>
            <w:r w:rsidR="00A618EE">
              <w:rPr>
                <w:color w:val="000000" w:themeColor="text1"/>
              </w:rPr>
              <w:t>пиця для скелетного витягування</w:t>
            </w:r>
            <w:r w:rsidRPr="00867A15">
              <w:rPr>
                <w:color w:val="000000" w:themeColor="text1"/>
              </w:rPr>
              <w:t>. Повинна бути виготовлена з нержавіючої</w:t>
            </w:r>
            <w:r w:rsidR="00A618EE">
              <w:rPr>
                <w:color w:val="000000" w:themeColor="text1"/>
                <w:lang w:val="uk-UA"/>
              </w:rPr>
              <w:t xml:space="preserve"> </w:t>
            </w:r>
            <w:r w:rsidRPr="00867A15">
              <w:rPr>
                <w:color w:val="000000" w:themeColor="text1"/>
              </w:rPr>
              <w:t>сталі. Повинна мати</w:t>
            </w:r>
            <w:r w:rsidR="00A618EE">
              <w:rPr>
                <w:color w:val="000000" w:themeColor="text1"/>
                <w:lang w:val="uk-UA"/>
              </w:rPr>
              <w:t xml:space="preserve"> </w:t>
            </w:r>
            <w:r w:rsidRPr="00867A15">
              <w:rPr>
                <w:color w:val="000000" w:themeColor="text1"/>
              </w:rPr>
              <w:t>діаметр 2,5 мм. Повинна мати</w:t>
            </w:r>
            <w:r w:rsidR="00A618EE">
              <w:rPr>
                <w:color w:val="000000" w:themeColor="text1"/>
                <w:lang w:val="uk-UA"/>
              </w:rPr>
              <w:t xml:space="preserve"> </w:t>
            </w:r>
            <w:r w:rsidRPr="00867A15">
              <w:rPr>
                <w:color w:val="000000" w:themeColor="text1"/>
              </w:rPr>
              <w:t>довжину 31 см.</w:t>
            </w:r>
          </w:p>
        </w:tc>
        <w:tc>
          <w:tcPr>
            <w:tcW w:w="850" w:type="dxa"/>
          </w:tcPr>
          <w:p w:rsidR="00281419" w:rsidRPr="00867A15" w:rsidRDefault="00281419" w:rsidP="007A0D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7A15">
              <w:rPr>
                <w:b/>
                <w:color w:val="000000" w:themeColor="text1"/>
                <w:lang w:val="uk-UA"/>
              </w:rPr>
              <w:t>250</w:t>
            </w:r>
          </w:p>
        </w:tc>
        <w:tc>
          <w:tcPr>
            <w:tcW w:w="567" w:type="dxa"/>
          </w:tcPr>
          <w:p w:rsidR="00281419" w:rsidRPr="00867A15" w:rsidRDefault="00281419" w:rsidP="007A0D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7A15">
              <w:rPr>
                <w:b/>
                <w:color w:val="000000" w:themeColor="text1"/>
                <w:lang w:val="uk-UA"/>
              </w:rPr>
              <w:t>шт</w:t>
            </w:r>
          </w:p>
        </w:tc>
        <w:tc>
          <w:tcPr>
            <w:tcW w:w="1701" w:type="dxa"/>
          </w:tcPr>
          <w:p w:rsidR="00281419" w:rsidRPr="00AF23F4" w:rsidRDefault="00281419" w:rsidP="007873BB">
            <w:pPr>
              <w:contextualSpacing/>
              <w:rPr>
                <w:b/>
                <w:lang w:val="uk-UA"/>
              </w:rPr>
            </w:pPr>
          </w:p>
        </w:tc>
      </w:tr>
      <w:bookmarkEnd w:id="1"/>
    </w:tbl>
    <w:p w:rsidR="009F60EB" w:rsidRDefault="009F60EB" w:rsidP="007873BB">
      <w:pPr>
        <w:widowControl w:val="0"/>
        <w:suppressAutoHyphens/>
        <w:autoSpaceDN w:val="0"/>
        <w:contextualSpacing/>
        <w:jc w:val="both"/>
        <w:textAlignment w:val="baseline"/>
        <w:rPr>
          <w:rFonts w:eastAsia="Times New Roman"/>
          <w:b/>
          <w:color w:val="000000"/>
          <w:lang w:val="uk-UA"/>
        </w:rPr>
      </w:pPr>
    </w:p>
    <w:p w:rsidR="000C76A6" w:rsidRPr="00D560E3" w:rsidRDefault="000C76A6" w:rsidP="007873BB">
      <w:pPr>
        <w:widowControl w:val="0"/>
        <w:suppressAutoHyphens/>
        <w:autoSpaceDN w:val="0"/>
        <w:contextualSpacing/>
        <w:jc w:val="both"/>
        <w:textAlignment w:val="baseline"/>
        <w:rPr>
          <w:rFonts w:eastAsia="Times New Roman"/>
          <w:i/>
          <w:color w:val="000000"/>
          <w:lang w:val="uk-UA"/>
        </w:rPr>
      </w:pPr>
      <w:r w:rsidRPr="00AF23F4">
        <w:rPr>
          <w:rFonts w:eastAsia="Times New Roman"/>
          <w:b/>
          <w:color w:val="000000"/>
          <w:lang w:val="uk-UA"/>
        </w:rPr>
        <w:t>*</w:t>
      </w:r>
      <w:r w:rsidRPr="00AF23F4">
        <w:rPr>
          <w:rFonts w:eastAsia="Times New Roman"/>
          <w:i/>
          <w:color w:val="000000"/>
          <w:lang w:val="uk-UA"/>
        </w:rPr>
        <w:t>у</w:t>
      </w:r>
      <w:r w:rsidRPr="00D560E3">
        <w:rPr>
          <w:rFonts w:eastAsia="Times New Roman"/>
          <w:i/>
          <w:color w:val="000000"/>
          <w:lang w:val="uk-UA"/>
        </w:rPr>
        <w:t xml:space="preserve"> кожному випадку де у тексті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даного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Технічного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завдання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згадуються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посилання на конкретні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торговельну марку чи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фірму, патент, конструкцію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або тип предмета закупівлі, джерело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його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походження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або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виробника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мається на увазі, що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Замовник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зазначає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після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кожної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такої характеристики вираз "або</w:t>
      </w:r>
      <w:r w:rsidR="00177A74">
        <w:rPr>
          <w:rFonts w:eastAsia="Times New Roman"/>
          <w:i/>
          <w:color w:val="000000"/>
          <w:lang w:val="uk-UA"/>
        </w:rPr>
        <w:t xml:space="preserve"> </w:t>
      </w:r>
      <w:r w:rsidRPr="00D560E3">
        <w:rPr>
          <w:rFonts w:eastAsia="Times New Roman"/>
          <w:i/>
          <w:color w:val="000000"/>
          <w:lang w:val="uk-UA"/>
        </w:rPr>
        <w:t>еквівалент".</w:t>
      </w:r>
    </w:p>
    <w:p w:rsidR="000C76A6" w:rsidRPr="00D560E3" w:rsidRDefault="000C76A6" w:rsidP="007873BB">
      <w:pPr>
        <w:widowControl w:val="0"/>
        <w:suppressAutoHyphens/>
        <w:autoSpaceDN w:val="0"/>
        <w:contextualSpacing/>
        <w:jc w:val="both"/>
        <w:textAlignment w:val="baseline"/>
        <w:rPr>
          <w:rFonts w:eastAsia="Times New Roman"/>
          <w:color w:val="000000"/>
          <w:lang w:val="uk-UA"/>
        </w:rPr>
      </w:pPr>
    </w:p>
    <w:p w:rsidR="000C76A6" w:rsidRPr="00D560E3" w:rsidRDefault="000C76A6" w:rsidP="007873BB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rFonts w:eastAsia="Times New Roman"/>
          <w:color w:val="000000"/>
          <w:lang w:val="uk-UA"/>
        </w:rPr>
      </w:pPr>
      <w:r w:rsidRPr="00D560E3">
        <w:rPr>
          <w:rFonts w:eastAsia="Times New Roman"/>
          <w:color w:val="000000"/>
          <w:lang w:val="uk-UA"/>
        </w:rPr>
        <w:t>Замовник не вчиняє та зобов’язується не вчиняти будь-яких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дій, що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обмежують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конкуренцію, не здійснює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дискримінацію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учасників та не обмежує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їх у поданні в пропозиції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еквівалентних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товарів, якщо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такі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товари є аналогічні по своїм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технічним та якісним характеристикам і можуть бути використані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Замовником у своїй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діяльності.</w:t>
      </w:r>
    </w:p>
    <w:p w:rsidR="000C76A6" w:rsidRPr="00D560E3" w:rsidRDefault="000C76A6" w:rsidP="007873BB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rFonts w:eastAsia="Times New Roman"/>
          <w:color w:val="000000"/>
          <w:lang w:val="uk-UA"/>
        </w:rPr>
      </w:pPr>
      <w:r w:rsidRPr="00D560E3">
        <w:rPr>
          <w:rFonts w:eastAsia="Times New Roman"/>
          <w:color w:val="000000"/>
          <w:lang w:val="uk-UA"/>
        </w:rPr>
        <w:t>Якщо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Учасник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подає товар/технології/механізми, що є еквівалентом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він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зобов’язаний подати у складі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своєї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пропозиції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порівняльну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таблицю в розрізі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усіх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технічних характеристик зазначених у Технічному</w:t>
      </w:r>
      <w:r w:rsidR="00177A74">
        <w:rPr>
          <w:rFonts w:eastAsia="Times New Roman"/>
          <w:color w:val="000000"/>
          <w:lang w:val="uk-UA"/>
        </w:rPr>
        <w:t xml:space="preserve"> з</w:t>
      </w:r>
      <w:r w:rsidRPr="00D560E3">
        <w:rPr>
          <w:rFonts w:eastAsia="Times New Roman"/>
          <w:color w:val="000000"/>
          <w:lang w:val="uk-UA"/>
        </w:rPr>
        <w:t>авданні, та лист-пояснення про відповідність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запропонованого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D560E3">
        <w:rPr>
          <w:rFonts w:eastAsia="Times New Roman"/>
          <w:color w:val="000000"/>
          <w:lang w:val="uk-UA"/>
        </w:rPr>
        <w:t>Учасником товару вимогамзакупівлі та фото аналогу.</w:t>
      </w:r>
    </w:p>
    <w:p w:rsidR="000C76A6" w:rsidRPr="00AF23F4" w:rsidRDefault="000C76A6" w:rsidP="007873BB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rFonts w:eastAsia="Times New Roman"/>
          <w:color w:val="000000"/>
        </w:rPr>
      </w:pPr>
      <w:r w:rsidRPr="00AF23F4">
        <w:rPr>
          <w:rFonts w:eastAsia="Times New Roman"/>
          <w:color w:val="000000"/>
        </w:rPr>
        <w:t>Невідповідність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даних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зазначених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учасником з наданими документами є підставою для відхилення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тендерної</w:t>
      </w:r>
      <w:r w:rsidR="00177A74">
        <w:rPr>
          <w:rFonts w:eastAsia="Times New Roman"/>
          <w:color w:val="000000"/>
          <w:lang w:val="uk-UA"/>
        </w:rPr>
        <w:t xml:space="preserve"> </w:t>
      </w:r>
      <w:r w:rsidRPr="00AF23F4">
        <w:rPr>
          <w:rFonts w:eastAsia="Times New Roman"/>
          <w:color w:val="000000"/>
        </w:rPr>
        <w:t>пропозиції.</w:t>
      </w:r>
    </w:p>
    <w:sectPr w:rsidR="000C76A6" w:rsidRPr="00AF23F4" w:rsidSect="008113A8">
      <w:footerReference w:type="default" r:id="rId8"/>
      <w:pgSz w:w="11906" w:h="16838"/>
      <w:pgMar w:top="567" w:right="709" w:bottom="56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2A" w:rsidRDefault="005F542A" w:rsidP="00240FEF">
      <w:r>
        <w:separator/>
      </w:r>
    </w:p>
  </w:endnote>
  <w:endnote w:type="continuationSeparator" w:id="1">
    <w:p w:rsidR="005F542A" w:rsidRDefault="005F542A" w:rsidP="0024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84516"/>
      <w:docPartObj>
        <w:docPartGallery w:val="Page Numbers (Bottom of Page)"/>
        <w:docPartUnique/>
      </w:docPartObj>
    </w:sdtPr>
    <w:sdtContent>
      <w:p w:rsidR="003C1256" w:rsidRDefault="00895F59">
        <w:pPr>
          <w:pStyle w:val="a9"/>
          <w:jc w:val="right"/>
        </w:pPr>
        <w:fldSimple w:instr=" PAGE   \* MERGEFORMAT ">
          <w:r w:rsidR="00C45367">
            <w:rPr>
              <w:noProof/>
            </w:rPr>
            <w:t>2</w:t>
          </w:r>
        </w:fldSimple>
      </w:p>
    </w:sdtContent>
  </w:sdt>
  <w:p w:rsidR="003C1256" w:rsidRDefault="003C12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2A" w:rsidRDefault="005F542A" w:rsidP="00240FEF">
      <w:r>
        <w:separator/>
      </w:r>
    </w:p>
  </w:footnote>
  <w:footnote w:type="continuationSeparator" w:id="1">
    <w:p w:rsidR="005F542A" w:rsidRDefault="005F542A" w:rsidP="00240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24C"/>
    <w:multiLevelType w:val="multilevel"/>
    <w:tmpl w:val="37809A9A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C155B6"/>
    <w:multiLevelType w:val="hybridMultilevel"/>
    <w:tmpl w:val="88244710"/>
    <w:lvl w:ilvl="0" w:tplc="5008CC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44836"/>
    <w:multiLevelType w:val="hybridMultilevel"/>
    <w:tmpl w:val="0FAC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75FF5"/>
    <w:multiLevelType w:val="hybridMultilevel"/>
    <w:tmpl w:val="63CC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2221B"/>
    <w:multiLevelType w:val="hybridMultilevel"/>
    <w:tmpl w:val="1E62E0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8773F"/>
    <w:multiLevelType w:val="hybridMultilevel"/>
    <w:tmpl w:val="DD5800D4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6D0"/>
    <w:rsid w:val="00010BF8"/>
    <w:rsid w:val="00033CB4"/>
    <w:rsid w:val="00034D05"/>
    <w:rsid w:val="00035163"/>
    <w:rsid w:val="0004454E"/>
    <w:rsid w:val="000530C8"/>
    <w:rsid w:val="00066D7A"/>
    <w:rsid w:val="0006736D"/>
    <w:rsid w:val="000801C0"/>
    <w:rsid w:val="000A2FC2"/>
    <w:rsid w:val="000A645B"/>
    <w:rsid w:val="000B3FBC"/>
    <w:rsid w:val="000B5BE8"/>
    <w:rsid w:val="000B707E"/>
    <w:rsid w:val="000C76A6"/>
    <w:rsid w:val="000D7EE6"/>
    <w:rsid w:val="000E2540"/>
    <w:rsid w:val="000F3E2A"/>
    <w:rsid w:val="000F5908"/>
    <w:rsid w:val="000F6AA4"/>
    <w:rsid w:val="0010447A"/>
    <w:rsid w:val="001217D0"/>
    <w:rsid w:val="00122AD2"/>
    <w:rsid w:val="001250C3"/>
    <w:rsid w:val="00127884"/>
    <w:rsid w:val="00145414"/>
    <w:rsid w:val="0015098E"/>
    <w:rsid w:val="00151385"/>
    <w:rsid w:val="00177A74"/>
    <w:rsid w:val="00187FE7"/>
    <w:rsid w:val="001A17E9"/>
    <w:rsid w:val="001A3960"/>
    <w:rsid w:val="001A4BEB"/>
    <w:rsid w:val="001B2C9E"/>
    <w:rsid w:val="001C38BF"/>
    <w:rsid w:val="001F4A66"/>
    <w:rsid w:val="0020781F"/>
    <w:rsid w:val="00235A74"/>
    <w:rsid w:val="00240FEF"/>
    <w:rsid w:val="00281419"/>
    <w:rsid w:val="0029648B"/>
    <w:rsid w:val="002A383A"/>
    <w:rsid w:val="002A404C"/>
    <w:rsid w:val="002A7F40"/>
    <w:rsid w:val="002C199E"/>
    <w:rsid w:val="002C69FF"/>
    <w:rsid w:val="002E2BAB"/>
    <w:rsid w:val="003104EE"/>
    <w:rsid w:val="0032184F"/>
    <w:rsid w:val="00330CDE"/>
    <w:rsid w:val="00337F78"/>
    <w:rsid w:val="0036179D"/>
    <w:rsid w:val="003624B1"/>
    <w:rsid w:val="003701CE"/>
    <w:rsid w:val="00370A80"/>
    <w:rsid w:val="00371A87"/>
    <w:rsid w:val="003B3A6F"/>
    <w:rsid w:val="003C1256"/>
    <w:rsid w:val="003D2A8A"/>
    <w:rsid w:val="003D764C"/>
    <w:rsid w:val="0041093F"/>
    <w:rsid w:val="00447C33"/>
    <w:rsid w:val="004A7EB9"/>
    <w:rsid w:val="004D5E9E"/>
    <w:rsid w:val="004D7618"/>
    <w:rsid w:val="004F0A07"/>
    <w:rsid w:val="0050406B"/>
    <w:rsid w:val="005064DC"/>
    <w:rsid w:val="005222CB"/>
    <w:rsid w:val="0057504F"/>
    <w:rsid w:val="00580822"/>
    <w:rsid w:val="00595D46"/>
    <w:rsid w:val="005A6509"/>
    <w:rsid w:val="005D6B03"/>
    <w:rsid w:val="005F542A"/>
    <w:rsid w:val="005F59E5"/>
    <w:rsid w:val="00602E24"/>
    <w:rsid w:val="00605E66"/>
    <w:rsid w:val="0061452A"/>
    <w:rsid w:val="00617D03"/>
    <w:rsid w:val="00622275"/>
    <w:rsid w:val="0062640E"/>
    <w:rsid w:val="00632366"/>
    <w:rsid w:val="00633BAA"/>
    <w:rsid w:val="006508D9"/>
    <w:rsid w:val="00650C11"/>
    <w:rsid w:val="00654400"/>
    <w:rsid w:val="006B07D2"/>
    <w:rsid w:val="006B4C66"/>
    <w:rsid w:val="006D0580"/>
    <w:rsid w:val="006D2EC0"/>
    <w:rsid w:val="006D6FEC"/>
    <w:rsid w:val="006D7709"/>
    <w:rsid w:val="006E6706"/>
    <w:rsid w:val="00705FFC"/>
    <w:rsid w:val="00715A2F"/>
    <w:rsid w:val="0072100E"/>
    <w:rsid w:val="00722F9F"/>
    <w:rsid w:val="00730F90"/>
    <w:rsid w:val="00735291"/>
    <w:rsid w:val="00742DF6"/>
    <w:rsid w:val="00780FD1"/>
    <w:rsid w:val="00785258"/>
    <w:rsid w:val="007873BB"/>
    <w:rsid w:val="00793E9C"/>
    <w:rsid w:val="007A212E"/>
    <w:rsid w:val="007A3CEF"/>
    <w:rsid w:val="007A716A"/>
    <w:rsid w:val="007B36B7"/>
    <w:rsid w:val="007C4213"/>
    <w:rsid w:val="007D26D0"/>
    <w:rsid w:val="007D3D0C"/>
    <w:rsid w:val="007E1EFC"/>
    <w:rsid w:val="007F1CCB"/>
    <w:rsid w:val="00803758"/>
    <w:rsid w:val="008113A8"/>
    <w:rsid w:val="008113BA"/>
    <w:rsid w:val="008215EB"/>
    <w:rsid w:val="008504D5"/>
    <w:rsid w:val="00870908"/>
    <w:rsid w:val="008762FF"/>
    <w:rsid w:val="00881365"/>
    <w:rsid w:val="00886B2F"/>
    <w:rsid w:val="00890948"/>
    <w:rsid w:val="00895F59"/>
    <w:rsid w:val="008A0AA4"/>
    <w:rsid w:val="008B1E50"/>
    <w:rsid w:val="008C5056"/>
    <w:rsid w:val="008D5BB1"/>
    <w:rsid w:val="008F02CA"/>
    <w:rsid w:val="008F4571"/>
    <w:rsid w:val="009121A2"/>
    <w:rsid w:val="009348C5"/>
    <w:rsid w:val="00934BF5"/>
    <w:rsid w:val="00936F84"/>
    <w:rsid w:val="0094317E"/>
    <w:rsid w:val="00955C2C"/>
    <w:rsid w:val="00962562"/>
    <w:rsid w:val="00962813"/>
    <w:rsid w:val="00982005"/>
    <w:rsid w:val="009A0F0B"/>
    <w:rsid w:val="009A3983"/>
    <w:rsid w:val="009B7A91"/>
    <w:rsid w:val="009E1048"/>
    <w:rsid w:val="009E7819"/>
    <w:rsid w:val="009F60EB"/>
    <w:rsid w:val="00A30EB6"/>
    <w:rsid w:val="00A31D6E"/>
    <w:rsid w:val="00A33236"/>
    <w:rsid w:val="00A34C2F"/>
    <w:rsid w:val="00A618EE"/>
    <w:rsid w:val="00A64DBB"/>
    <w:rsid w:val="00A750B2"/>
    <w:rsid w:val="00A91158"/>
    <w:rsid w:val="00AA45AF"/>
    <w:rsid w:val="00AB0F73"/>
    <w:rsid w:val="00AB4F32"/>
    <w:rsid w:val="00AB6A07"/>
    <w:rsid w:val="00AD039A"/>
    <w:rsid w:val="00AD6784"/>
    <w:rsid w:val="00AF23F4"/>
    <w:rsid w:val="00B20C15"/>
    <w:rsid w:val="00B261D1"/>
    <w:rsid w:val="00B31229"/>
    <w:rsid w:val="00B71CDC"/>
    <w:rsid w:val="00B76F21"/>
    <w:rsid w:val="00B91C6B"/>
    <w:rsid w:val="00BD61FA"/>
    <w:rsid w:val="00BD6495"/>
    <w:rsid w:val="00BE331E"/>
    <w:rsid w:val="00C0624A"/>
    <w:rsid w:val="00C06342"/>
    <w:rsid w:val="00C11787"/>
    <w:rsid w:val="00C13E4E"/>
    <w:rsid w:val="00C15E3F"/>
    <w:rsid w:val="00C21237"/>
    <w:rsid w:val="00C254C6"/>
    <w:rsid w:val="00C31141"/>
    <w:rsid w:val="00C32C65"/>
    <w:rsid w:val="00C337BB"/>
    <w:rsid w:val="00C44E75"/>
    <w:rsid w:val="00C44F3F"/>
    <w:rsid w:val="00C45367"/>
    <w:rsid w:val="00C6238B"/>
    <w:rsid w:val="00C66E6E"/>
    <w:rsid w:val="00C80D4B"/>
    <w:rsid w:val="00C97E88"/>
    <w:rsid w:val="00CA1059"/>
    <w:rsid w:val="00CA157B"/>
    <w:rsid w:val="00CA19F7"/>
    <w:rsid w:val="00CB3ACC"/>
    <w:rsid w:val="00CE0504"/>
    <w:rsid w:val="00CE102F"/>
    <w:rsid w:val="00D03313"/>
    <w:rsid w:val="00D36E67"/>
    <w:rsid w:val="00D560E3"/>
    <w:rsid w:val="00D63860"/>
    <w:rsid w:val="00D65FC4"/>
    <w:rsid w:val="00DA380F"/>
    <w:rsid w:val="00DB3705"/>
    <w:rsid w:val="00DC46BB"/>
    <w:rsid w:val="00DD277A"/>
    <w:rsid w:val="00DE2C17"/>
    <w:rsid w:val="00E07209"/>
    <w:rsid w:val="00E16CCB"/>
    <w:rsid w:val="00E47295"/>
    <w:rsid w:val="00E646B6"/>
    <w:rsid w:val="00E7370A"/>
    <w:rsid w:val="00EB742C"/>
    <w:rsid w:val="00EC2008"/>
    <w:rsid w:val="00EC5EF4"/>
    <w:rsid w:val="00EF431A"/>
    <w:rsid w:val="00EF484C"/>
    <w:rsid w:val="00F03C7B"/>
    <w:rsid w:val="00F25730"/>
    <w:rsid w:val="00F341E3"/>
    <w:rsid w:val="00F50B6B"/>
    <w:rsid w:val="00F66256"/>
    <w:rsid w:val="00F72EC7"/>
    <w:rsid w:val="00F73ADD"/>
    <w:rsid w:val="00F73EA1"/>
    <w:rsid w:val="00F9128C"/>
    <w:rsid w:val="00F9420B"/>
    <w:rsid w:val="00FA33CF"/>
    <w:rsid w:val="00FA6CBA"/>
    <w:rsid w:val="00FB3A62"/>
    <w:rsid w:val="00FC7226"/>
    <w:rsid w:val="00FD298B"/>
    <w:rsid w:val="00FF05F1"/>
    <w:rsid w:val="00FF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209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13E4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E07209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7D26D0"/>
  </w:style>
  <w:style w:type="character" w:customStyle="1" w:styleId="20">
    <w:name w:val="Заголовок 2 Знак"/>
    <w:basedOn w:val="a0"/>
    <w:link w:val="2"/>
    <w:uiPriority w:val="9"/>
    <w:rsid w:val="00C13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C13E4E"/>
    <w:rPr>
      <w:rFonts w:cs="Times New Roman"/>
    </w:rPr>
  </w:style>
  <w:style w:type="paragraph" w:styleId="a3">
    <w:name w:val="List Paragraph"/>
    <w:basedOn w:val="a"/>
    <w:uiPriority w:val="99"/>
    <w:qFormat/>
    <w:rsid w:val="00C13E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E07209"/>
    <w:pPr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uiPriority w:val="20"/>
    <w:qFormat/>
    <w:rsid w:val="00E07209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9"/>
    <w:rsid w:val="00E072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0720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match">
    <w:name w:val="match"/>
    <w:basedOn w:val="a0"/>
    <w:uiPriority w:val="99"/>
    <w:rsid w:val="00E07209"/>
    <w:rPr>
      <w:rFonts w:cs="Times New Roman"/>
    </w:rPr>
  </w:style>
  <w:style w:type="character" w:styleId="a6">
    <w:name w:val="Strong"/>
    <w:basedOn w:val="a0"/>
    <w:uiPriority w:val="99"/>
    <w:qFormat/>
    <w:rsid w:val="008D5BB1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4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0F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0F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2184F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rsid w:val="009B7A9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9B7A91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ae"/>
    <w:rsid w:val="00C6238B"/>
    <w:pPr>
      <w:suppressAutoHyphens/>
      <w:spacing w:after="160" w:line="259" w:lineRule="auto"/>
    </w:pPr>
    <w:rPr>
      <w:rFonts w:ascii="Calibri" w:eastAsia="Calibri" w:hAnsi="Calibri" w:cs="Times New Roman"/>
      <w:sz w:val="24"/>
      <w:lang w:eastAsia="zh-CN"/>
    </w:rPr>
  </w:style>
  <w:style w:type="character" w:customStyle="1" w:styleId="ae">
    <w:name w:val="Без интервала Знак"/>
    <w:link w:val="11"/>
    <w:locked/>
    <w:rsid w:val="00C6238B"/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A342-E20B-4163-88F5-587C86A6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Zver</cp:lastModifiedBy>
  <cp:revision>79</cp:revision>
  <cp:lastPrinted>2020-01-21T07:40:00Z</cp:lastPrinted>
  <dcterms:created xsi:type="dcterms:W3CDTF">2020-03-30T09:46:00Z</dcterms:created>
  <dcterms:modified xsi:type="dcterms:W3CDTF">2023-01-05T14:28:00Z</dcterms:modified>
</cp:coreProperties>
</file>