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48" w:rsidRPr="007D43BB" w:rsidRDefault="00C22048" w:rsidP="00C22048">
      <w:pPr>
        <w:ind w:left="6237"/>
        <w:rPr>
          <w:rFonts w:ascii="Times New Roman" w:hAnsi="Times New Roman" w:cs="Times New Roman"/>
          <w:i/>
          <w:lang w:eastAsia="uk-UA"/>
        </w:rPr>
      </w:pPr>
      <w:proofErr w:type="spellStart"/>
      <w:r w:rsidRPr="00BD30BA">
        <w:rPr>
          <w:rFonts w:ascii="Times New Roman" w:hAnsi="Times New Roman" w:cs="Times New Roman"/>
          <w:i/>
        </w:rPr>
        <w:t>Додаток</w:t>
      </w:r>
      <w:proofErr w:type="spellEnd"/>
      <w:r w:rsidRPr="00BD30BA">
        <w:rPr>
          <w:rFonts w:ascii="Times New Roman" w:hAnsi="Times New Roman" w:cs="Times New Roman"/>
          <w:i/>
        </w:rPr>
        <w:t xml:space="preserve"> </w:t>
      </w:r>
      <w:proofErr w:type="gramStart"/>
      <w:r w:rsidRPr="00BD30BA">
        <w:rPr>
          <w:rFonts w:ascii="Times New Roman" w:hAnsi="Times New Roman" w:cs="Times New Roman"/>
          <w:i/>
        </w:rPr>
        <w:t>до протоколу</w:t>
      </w:r>
      <w:proofErr w:type="gramEnd"/>
      <w:r w:rsidRPr="00BD30BA">
        <w:rPr>
          <w:rFonts w:ascii="Times New Roman" w:hAnsi="Times New Roman" w:cs="Times New Roman"/>
          <w:i/>
        </w:rPr>
        <w:t xml:space="preserve"> </w:t>
      </w:r>
    </w:p>
    <w:p w:rsidR="00C22048" w:rsidRPr="006A0AE1" w:rsidRDefault="00C22048" w:rsidP="00C22048">
      <w:pPr>
        <w:ind w:left="6237"/>
        <w:rPr>
          <w:rFonts w:ascii="Times New Roman" w:hAnsi="Times New Roman" w:cs="Times New Roman"/>
          <w:i/>
        </w:rPr>
      </w:pPr>
      <w:r w:rsidRPr="007D43BB">
        <w:rPr>
          <w:rFonts w:ascii="Times New Roman" w:hAnsi="Times New Roman" w:cs="Times New Roman"/>
          <w:i/>
          <w:lang w:eastAsia="uk-UA"/>
        </w:rPr>
        <w:t xml:space="preserve">Номенклатура: 09123000-7 </w:t>
      </w:r>
      <w:proofErr w:type="spellStart"/>
      <w:r w:rsidRPr="007D43BB">
        <w:rPr>
          <w:rFonts w:ascii="Times New Roman" w:hAnsi="Times New Roman" w:cs="Times New Roman"/>
          <w:i/>
          <w:lang w:eastAsia="uk-UA"/>
        </w:rPr>
        <w:t>Природний</w:t>
      </w:r>
      <w:proofErr w:type="spellEnd"/>
      <w:r w:rsidRPr="007D43BB">
        <w:rPr>
          <w:rFonts w:ascii="Times New Roman" w:hAnsi="Times New Roman" w:cs="Times New Roman"/>
          <w:i/>
          <w:lang w:eastAsia="uk-UA"/>
        </w:rPr>
        <w:t xml:space="preserve"> газ</w:t>
      </w:r>
      <w:r w:rsidRPr="00852197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Уповноваженої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особи </w:t>
      </w:r>
      <w:r w:rsidRPr="006A0AE1">
        <w:rPr>
          <w:rFonts w:ascii="Times New Roman" w:hAnsi="Times New Roman" w:cs="Times New Roman"/>
          <w:i/>
        </w:rPr>
        <w:t xml:space="preserve"> </w:t>
      </w:r>
      <w:r w:rsidR="00851D01">
        <w:rPr>
          <w:rFonts w:ascii="Times New Roman" w:hAnsi="Times New Roman"/>
          <w:bCs/>
          <w:i/>
        </w:rPr>
        <w:t>№</w:t>
      </w:r>
      <w:proofErr w:type="gramEnd"/>
      <w:r w:rsidR="00851D01">
        <w:rPr>
          <w:rFonts w:ascii="Times New Roman" w:hAnsi="Times New Roman"/>
          <w:bCs/>
          <w:i/>
          <w:lang w:val="uk-UA"/>
        </w:rPr>
        <w:t>12/УО</w:t>
      </w:r>
      <w:r w:rsidRPr="006A0AE1">
        <w:rPr>
          <w:rFonts w:ascii="Times New Roman" w:hAnsi="Times New Roman"/>
          <w:bCs/>
          <w:i/>
        </w:rPr>
        <w:t xml:space="preserve"> </w:t>
      </w:r>
      <w:proofErr w:type="spellStart"/>
      <w:r w:rsidRPr="006A0AE1">
        <w:rPr>
          <w:rFonts w:ascii="Times New Roman" w:hAnsi="Times New Roman"/>
          <w:bCs/>
          <w:i/>
        </w:rPr>
        <w:t>від</w:t>
      </w:r>
      <w:proofErr w:type="spellEnd"/>
      <w:r w:rsidRPr="006A0AE1">
        <w:rPr>
          <w:rFonts w:ascii="Times New Roman" w:hAnsi="Times New Roman"/>
          <w:bCs/>
          <w:i/>
        </w:rPr>
        <w:t xml:space="preserve"> </w:t>
      </w:r>
      <w:r w:rsidRPr="00851D01">
        <w:rPr>
          <w:rFonts w:ascii="Times New Roman" w:hAnsi="Times New Roman"/>
          <w:bCs/>
          <w:i/>
        </w:rPr>
        <w:t>27.03.2023 року</w:t>
      </w:r>
    </w:p>
    <w:p w:rsidR="00C22048" w:rsidRPr="00D308BE" w:rsidRDefault="00C22048" w:rsidP="00C2204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8BE">
        <w:rPr>
          <w:rFonts w:ascii="Times New Roman" w:hAnsi="Times New Roman" w:cs="Times New Roman"/>
          <w:b/>
          <w:sz w:val="26"/>
          <w:szCs w:val="26"/>
        </w:rPr>
        <w:t>Перелік змін до тендерної документації</w:t>
      </w:r>
    </w:p>
    <w:p w:rsidR="00C22048" w:rsidRPr="007E43EB" w:rsidRDefault="00C22048" w:rsidP="00C2204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22048" w:rsidRPr="007D43BB" w:rsidRDefault="00C22048" w:rsidP="00C22048">
      <w:pPr>
        <w:ind w:firstLine="312"/>
        <w:jc w:val="both"/>
        <w:rPr>
          <w:rFonts w:ascii="Times New Roman" w:hAnsi="Times New Roman" w:cs="Times New Roman"/>
          <w:i/>
          <w:lang w:eastAsia="uk-UA"/>
        </w:rPr>
      </w:pPr>
      <w:r w:rsidRPr="007D43BB">
        <w:rPr>
          <w:rFonts w:ascii="Times New Roman" w:hAnsi="Times New Roman" w:cs="Times New Roman"/>
          <w:b/>
          <w:bCs/>
          <w:i/>
        </w:rPr>
        <w:t xml:space="preserve">Предмет </w:t>
      </w:r>
      <w:proofErr w:type="spellStart"/>
      <w:r w:rsidRPr="007D43BB">
        <w:rPr>
          <w:rFonts w:ascii="Times New Roman" w:hAnsi="Times New Roman" w:cs="Times New Roman"/>
          <w:b/>
          <w:bCs/>
          <w:i/>
        </w:rPr>
        <w:t>закупівлі</w:t>
      </w:r>
      <w:proofErr w:type="spellEnd"/>
      <w:r w:rsidRPr="007D43BB">
        <w:rPr>
          <w:rFonts w:ascii="Times New Roman" w:hAnsi="Times New Roman" w:cs="Times New Roman"/>
          <w:bCs/>
          <w:i/>
        </w:rPr>
        <w:t xml:space="preserve">: </w:t>
      </w:r>
      <w:r w:rsidRPr="007D43BB">
        <w:rPr>
          <w:rFonts w:ascii="Times New Roman" w:hAnsi="Times New Roman" w:cs="Times New Roman"/>
          <w:i/>
          <w:lang w:eastAsia="uk-UA"/>
        </w:rPr>
        <w:t>«</w:t>
      </w:r>
      <w:proofErr w:type="spellStart"/>
      <w:r w:rsidRPr="007D43BB">
        <w:rPr>
          <w:rFonts w:ascii="Times New Roman" w:hAnsi="Times New Roman" w:cs="Times New Roman"/>
          <w:i/>
          <w:lang w:eastAsia="uk-UA"/>
        </w:rPr>
        <w:t>Природний</w:t>
      </w:r>
      <w:proofErr w:type="spellEnd"/>
      <w:r w:rsidRPr="007D43BB">
        <w:rPr>
          <w:rFonts w:ascii="Times New Roman" w:hAnsi="Times New Roman" w:cs="Times New Roman"/>
          <w:i/>
          <w:lang w:eastAsia="uk-UA"/>
        </w:rPr>
        <w:t xml:space="preserve"> газ» ДК 021:2015 09120000-6 </w:t>
      </w:r>
      <w:proofErr w:type="spellStart"/>
      <w:r w:rsidRPr="007D43BB">
        <w:rPr>
          <w:rFonts w:ascii="Times New Roman" w:hAnsi="Times New Roman" w:cs="Times New Roman"/>
          <w:i/>
          <w:lang w:eastAsia="uk-UA"/>
        </w:rPr>
        <w:t>Газове</w:t>
      </w:r>
      <w:proofErr w:type="spellEnd"/>
      <w:r w:rsidRPr="007D43BB">
        <w:rPr>
          <w:rFonts w:ascii="Times New Roman" w:hAnsi="Times New Roman" w:cs="Times New Roman"/>
          <w:i/>
          <w:lang w:eastAsia="uk-UA"/>
        </w:rPr>
        <w:t xml:space="preserve"> </w:t>
      </w:r>
      <w:proofErr w:type="spellStart"/>
      <w:r w:rsidRPr="007D43BB">
        <w:rPr>
          <w:rFonts w:ascii="Times New Roman" w:hAnsi="Times New Roman" w:cs="Times New Roman"/>
          <w:i/>
          <w:lang w:eastAsia="uk-UA"/>
        </w:rPr>
        <w:t>паливо</w:t>
      </w:r>
      <w:proofErr w:type="spellEnd"/>
    </w:p>
    <w:p w:rsidR="00C22048" w:rsidRPr="007D43BB" w:rsidRDefault="00C22048" w:rsidP="00C22048">
      <w:pPr>
        <w:ind w:firstLine="312"/>
        <w:jc w:val="both"/>
        <w:rPr>
          <w:rFonts w:ascii="Times New Roman" w:hAnsi="Times New Roman" w:cs="Times New Roman"/>
          <w:i/>
          <w:lang w:eastAsia="uk-UA"/>
        </w:rPr>
      </w:pPr>
    </w:p>
    <w:p w:rsidR="00C22048" w:rsidRDefault="00C22048" w:rsidP="00C22048">
      <w:pPr>
        <w:pStyle w:val="Default"/>
        <w:ind w:firstLine="312"/>
        <w:jc w:val="both"/>
        <w:rPr>
          <w:color w:val="auto"/>
          <w:shd w:val="clear" w:color="auto" w:fill="FFFFFF"/>
        </w:rPr>
      </w:pPr>
      <w:r w:rsidRPr="00C22048">
        <w:rPr>
          <w:color w:val="auto"/>
        </w:rPr>
        <w:t>Відповідно до  п.51 Особливостей</w:t>
      </w:r>
      <w:r w:rsidRPr="00C22048">
        <w:rPr>
          <w:b/>
          <w:color w:val="auto"/>
        </w:rPr>
        <w:t xml:space="preserve"> </w:t>
      </w:r>
      <w:r w:rsidRPr="00C22048">
        <w:rPr>
          <w:color w:val="auto"/>
          <w:shd w:val="clear" w:color="auto" w:fill="FFFFFF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C22048">
        <w:rPr>
          <w:color w:val="auto"/>
          <w:shd w:val="clear" w:color="auto" w:fill="FFFFFF"/>
        </w:rPr>
        <w:t>закупівель</w:t>
      </w:r>
      <w:proofErr w:type="spellEnd"/>
      <w:r w:rsidRPr="00C22048">
        <w:rPr>
          <w:color w:val="auto"/>
          <w:shd w:val="clear" w:color="auto" w:fill="FFFFFF"/>
        </w:rPr>
        <w:t>, викладених у висновку органу державного фінансового контролю відповідно до </w:t>
      </w:r>
      <w:hyperlink r:id="rId6" w:anchor="n960" w:tgtFrame="_blank" w:history="1">
        <w:r w:rsidRPr="00C22048">
          <w:rPr>
            <w:rStyle w:val="a3"/>
            <w:color w:val="auto"/>
            <w:shd w:val="clear" w:color="auto" w:fill="FFFFFF"/>
          </w:rPr>
          <w:t>статті 8</w:t>
        </w:r>
      </w:hyperlink>
      <w:r w:rsidRPr="00C22048">
        <w:rPr>
          <w:color w:val="auto"/>
          <w:shd w:val="clear" w:color="auto" w:fill="FFFFFF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Pr="00C22048">
        <w:rPr>
          <w:color w:val="auto"/>
          <w:shd w:val="clear" w:color="auto" w:fill="FFFFFF"/>
        </w:rPr>
        <w:t>внести</w:t>
      </w:r>
      <w:proofErr w:type="spellEnd"/>
      <w:r w:rsidRPr="00C22048">
        <w:rPr>
          <w:color w:val="auto"/>
          <w:shd w:val="clear" w:color="auto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C22048">
        <w:rPr>
          <w:color w:val="auto"/>
          <w:shd w:val="clear" w:color="auto" w:fill="FFFFFF"/>
        </w:rPr>
        <w:t>закупівель</w:t>
      </w:r>
      <w:proofErr w:type="spellEnd"/>
      <w:r w:rsidRPr="00C22048">
        <w:rPr>
          <w:color w:val="auto"/>
          <w:shd w:val="clear" w:color="auto" w:fill="FFFFFF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C22048" w:rsidRPr="00C22048" w:rsidRDefault="00C22048" w:rsidP="00C22048">
      <w:pPr>
        <w:pStyle w:val="Default"/>
        <w:ind w:firstLine="312"/>
        <w:jc w:val="both"/>
        <w:rPr>
          <w:color w:val="auto"/>
          <w:shd w:val="clear" w:color="auto" w:fill="FFFFFF"/>
        </w:rPr>
      </w:pPr>
      <w:r w:rsidRPr="00C22048">
        <w:rPr>
          <w:color w:val="auto"/>
          <w:shd w:val="clear" w:color="auto" w:fill="FFFFFF"/>
        </w:rPr>
        <w:t>Зміни, що вносяться замовником до тендерної</w:t>
      </w:r>
      <w:r>
        <w:rPr>
          <w:color w:val="333333"/>
          <w:shd w:val="clear" w:color="auto" w:fill="FFFFFF"/>
        </w:rPr>
        <w:t xml:space="preserve"> </w:t>
      </w:r>
      <w:r w:rsidRPr="00C22048">
        <w:rPr>
          <w:color w:val="auto"/>
          <w:shd w:val="clear" w:color="auto" w:fill="FFFFFF"/>
        </w:rPr>
        <w:t xml:space="preserve">документації, розміщуються та відображаються в електронній системі </w:t>
      </w:r>
      <w:proofErr w:type="spellStart"/>
      <w:r w:rsidRPr="00C22048">
        <w:rPr>
          <w:color w:val="auto"/>
          <w:shd w:val="clear" w:color="auto" w:fill="FFFFFF"/>
        </w:rPr>
        <w:t>закупівель</w:t>
      </w:r>
      <w:proofErr w:type="spellEnd"/>
      <w:r>
        <w:rPr>
          <w:color w:val="auto"/>
          <w:shd w:val="clear" w:color="auto" w:fill="FFFFFF"/>
        </w:rPr>
        <w:t>.</w:t>
      </w:r>
    </w:p>
    <w:p w:rsidR="00713684" w:rsidRDefault="00C22048" w:rsidP="00D308BE">
      <w:pPr>
        <w:pStyle w:val="Default"/>
        <w:ind w:firstLine="284"/>
        <w:jc w:val="both"/>
        <w:rPr>
          <w:color w:val="auto"/>
          <w:shd w:val="clear" w:color="auto" w:fill="FFFFFF"/>
        </w:rPr>
      </w:pPr>
      <w:r w:rsidRPr="00C22048">
        <w:rPr>
          <w:color w:val="auto"/>
          <w:shd w:val="clear" w:color="auto" w:fill="FFFFFF"/>
        </w:rPr>
        <w:t xml:space="preserve">Прийнято рішення </w:t>
      </w:r>
      <w:r w:rsidR="00851D01">
        <w:rPr>
          <w:color w:val="333333"/>
          <w:shd w:val="clear" w:color="auto" w:fill="FFFFFF"/>
        </w:rPr>
        <w:t>Комунальна установа «Львівський міський молодіжний центр</w:t>
      </w:r>
      <w:bookmarkStart w:id="0" w:name="_GoBack"/>
      <w:bookmarkEnd w:id="0"/>
      <w:r w:rsidR="00851D01">
        <w:rPr>
          <w:color w:val="333333"/>
          <w:shd w:val="clear" w:color="auto" w:fill="FFFFFF"/>
        </w:rPr>
        <w:t>»</w:t>
      </w:r>
      <w:r>
        <w:rPr>
          <w:color w:val="333333"/>
          <w:shd w:val="clear" w:color="auto" w:fill="FFFFFF"/>
        </w:rPr>
        <w:t xml:space="preserve"> </w:t>
      </w:r>
      <w:proofErr w:type="spellStart"/>
      <w:r w:rsidRPr="00C22048">
        <w:rPr>
          <w:color w:val="auto"/>
          <w:shd w:val="clear" w:color="auto" w:fill="FFFFFF"/>
        </w:rPr>
        <w:t>внести</w:t>
      </w:r>
      <w:proofErr w:type="spellEnd"/>
      <w:r w:rsidRPr="00C22048">
        <w:rPr>
          <w:color w:val="auto"/>
          <w:shd w:val="clear" w:color="auto" w:fill="FFFFFF"/>
        </w:rPr>
        <w:t xml:space="preserve"> наступні зміни до тендерної документації:</w:t>
      </w:r>
    </w:p>
    <w:tbl>
      <w:tblPr>
        <w:tblStyle w:val="a5"/>
        <w:tblpPr w:leftFromText="180" w:rightFromText="180" w:vertAnchor="text" w:horzAnchor="margin" w:tblpXSpec="center" w:tblpY="973"/>
        <w:tblW w:w="10485" w:type="dxa"/>
        <w:tblLook w:val="04A0" w:firstRow="1" w:lastRow="0" w:firstColumn="1" w:lastColumn="0" w:noHBand="0" w:noVBand="1"/>
      </w:tblPr>
      <w:tblGrid>
        <w:gridCol w:w="2150"/>
        <w:gridCol w:w="4078"/>
        <w:gridCol w:w="4257"/>
      </w:tblGrid>
      <w:tr w:rsidR="00580D1E" w:rsidRPr="009A316A" w:rsidTr="00CA5AEF">
        <w:tc>
          <w:tcPr>
            <w:tcW w:w="2150" w:type="dxa"/>
          </w:tcPr>
          <w:p w:rsidR="00580D1E" w:rsidRPr="009A316A" w:rsidRDefault="00580D1E" w:rsidP="00CA5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Пункт, частина</w:t>
            </w:r>
            <w:r>
              <w:rPr>
                <w:rFonts w:ascii="Times New Roman" w:hAnsi="Times New Roman" w:cs="Times New Roman"/>
                <w:b/>
              </w:rPr>
              <w:t xml:space="preserve">, розділ </w:t>
            </w:r>
            <w:r w:rsidRPr="009A316A">
              <w:rPr>
                <w:rFonts w:ascii="Times New Roman" w:hAnsi="Times New Roman" w:cs="Times New Roman"/>
                <w:b/>
              </w:rPr>
              <w:t xml:space="preserve"> ТД</w:t>
            </w:r>
          </w:p>
        </w:tc>
        <w:tc>
          <w:tcPr>
            <w:tcW w:w="4078" w:type="dxa"/>
            <w:vAlign w:val="center"/>
          </w:tcPr>
          <w:p w:rsidR="00580D1E" w:rsidRPr="009A316A" w:rsidRDefault="00580D1E" w:rsidP="00CA5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До змін</w:t>
            </w:r>
          </w:p>
        </w:tc>
        <w:tc>
          <w:tcPr>
            <w:tcW w:w="4257" w:type="dxa"/>
            <w:vAlign w:val="center"/>
          </w:tcPr>
          <w:p w:rsidR="00580D1E" w:rsidRPr="009A316A" w:rsidRDefault="00580D1E" w:rsidP="00CA5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Після змін</w:t>
            </w:r>
          </w:p>
        </w:tc>
      </w:tr>
      <w:tr w:rsidR="00580D1E" w:rsidRPr="009A316A" w:rsidTr="00CA5AEF">
        <w:trPr>
          <w:trHeight w:val="2593"/>
        </w:trPr>
        <w:tc>
          <w:tcPr>
            <w:tcW w:w="2150" w:type="dxa"/>
          </w:tcPr>
          <w:p w:rsidR="00580D1E" w:rsidRDefault="00580D1E" w:rsidP="00CA5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jc w:val="center"/>
              <w:rPr>
                <w:rFonts w:ascii="Times New Roman" w:hAnsi="Times New Roman" w:cs="Times New Roman"/>
                <w:b/>
                <w:color w:val="auto"/>
                <w:lang w:eastAsia="uk-UA" w:bidi="ar-SA"/>
              </w:rPr>
            </w:pPr>
            <w:r w:rsidRPr="00974161">
              <w:rPr>
                <w:rFonts w:ascii="Times New Roman" w:hAnsi="Times New Roman" w:cs="Times New Roman"/>
                <w:b/>
                <w:color w:val="auto"/>
                <w:lang w:eastAsia="uk-UA" w:bidi="ar-SA"/>
              </w:rPr>
              <w:t>Розділ IV Подання та розкриття тендерної пропозиції</w:t>
            </w:r>
          </w:p>
          <w:p w:rsidR="00580D1E" w:rsidRPr="00D308BE" w:rsidRDefault="00D308BE" w:rsidP="00CA5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auto"/>
                <w:lang w:eastAsia="uk-UA" w:bidi="ar-SA"/>
              </w:rPr>
              <w:t xml:space="preserve">П.1 </w:t>
            </w:r>
            <w:r w:rsidR="00580D1E" w:rsidRPr="00D308BE">
              <w:rPr>
                <w:rFonts w:ascii="Times New Roman" w:hAnsi="Times New Roman" w:cs="Times New Roman"/>
                <w:color w:val="auto"/>
                <w:lang w:eastAsia="uk-UA" w:bidi="ar-SA"/>
              </w:rPr>
              <w:t>Кінцевий строк подання тендерної пропозицій</w:t>
            </w:r>
          </w:p>
        </w:tc>
        <w:tc>
          <w:tcPr>
            <w:tcW w:w="4078" w:type="dxa"/>
          </w:tcPr>
          <w:p w:rsidR="00D308BE" w:rsidRPr="00300F04" w:rsidRDefault="00D308BE" w:rsidP="00D308BE">
            <w:pPr>
              <w:suppressAutoHyphens w:val="0"/>
              <w:ind w:right="120" w:firstLine="312"/>
              <w:jc w:val="both"/>
              <w:rPr>
                <w:rFonts w:ascii="Times New Roman" w:hAnsi="Times New Roman" w:cs="Times New Roman"/>
                <w:color w:val="auto"/>
                <w:lang w:eastAsia="uk-UA" w:bidi="ar-SA"/>
              </w:rPr>
            </w:pPr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>Кінцевий строк подання тендерних пропозиці</w:t>
            </w:r>
            <w:r w:rsidRPr="001D3E3B">
              <w:rPr>
                <w:rFonts w:ascii="Times New Roman" w:hAnsi="Times New Roman" w:cs="Times New Roman"/>
                <w:color w:val="auto"/>
                <w:lang w:eastAsia="uk-UA" w:bidi="ar-SA"/>
              </w:rPr>
              <w:t xml:space="preserve">й: </w:t>
            </w:r>
            <w:r w:rsidRPr="00D308BE">
              <w:rPr>
                <w:rFonts w:ascii="Times New Roman" w:hAnsi="Times New Roman"/>
                <w:b/>
                <w:strike/>
                <w:color w:val="auto"/>
                <w:lang w:val="ru-RU" w:eastAsia="uk-UA" w:bidi="ar-SA"/>
              </w:rPr>
              <w:t>30.03.2023</w:t>
            </w:r>
            <w:r w:rsidRPr="001D3E3B">
              <w:rPr>
                <w:rFonts w:ascii="Times New Roman" w:hAnsi="Times New Roman"/>
                <w:b/>
                <w:color w:val="auto"/>
                <w:lang w:val="ru-RU" w:eastAsia="uk-UA" w:bidi="ar-SA"/>
              </w:rPr>
              <w:t xml:space="preserve"> 0</w:t>
            </w:r>
            <w:r>
              <w:rPr>
                <w:rFonts w:ascii="Times New Roman" w:hAnsi="Times New Roman"/>
                <w:b/>
                <w:color w:val="auto"/>
                <w:lang w:eastAsia="uk-UA" w:bidi="ar-SA"/>
              </w:rPr>
              <w:t>0</w:t>
            </w:r>
            <w:r w:rsidRPr="001D3E3B">
              <w:rPr>
                <w:rFonts w:ascii="Times New Roman" w:hAnsi="Times New Roman"/>
                <w:b/>
                <w:color w:val="auto"/>
                <w:lang w:val="ru-RU" w:eastAsia="uk-UA" w:bidi="ar-SA"/>
              </w:rPr>
              <w:t>:00</w:t>
            </w:r>
          </w:p>
          <w:p w:rsidR="00D308BE" w:rsidRPr="00300F04" w:rsidRDefault="00D308BE" w:rsidP="00D308BE">
            <w:pPr>
              <w:suppressAutoHyphens w:val="0"/>
              <w:ind w:right="120" w:firstLine="312"/>
              <w:jc w:val="both"/>
              <w:rPr>
                <w:rFonts w:ascii="Times New Roman" w:hAnsi="Times New Roman" w:cs="Times New Roman"/>
                <w:color w:val="auto"/>
                <w:lang w:eastAsia="uk-UA" w:bidi="ar-SA"/>
              </w:rPr>
            </w:pPr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>Отримана тендерна пропозиція автоматично вноситься до реєстру.</w:t>
            </w:r>
          </w:p>
          <w:p w:rsidR="00580D1E" w:rsidRPr="00505FAF" w:rsidRDefault="00D308BE" w:rsidP="00D308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>закупівель</w:t>
            </w:r>
            <w:proofErr w:type="spellEnd"/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>.</w:t>
            </w:r>
          </w:p>
        </w:tc>
        <w:tc>
          <w:tcPr>
            <w:tcW w:w="4257" w:type="dxa"/>
          </w:tcPr>
          <w:p w:rsidR="00D308BE" w:rsidRPr="00300F04" w:rsidRDefault="00D308BE" w:rsidP="00D308BE">
            <w:pPr>
              <w:suppressAutoHyphens w:val="0"/>
              <w:ind w:right="120" w:firstLine="312"/>
              <w:jc w:val="both"/>
              <w:rPr>
                <w:rFonts w:ascii="Times New Roman" w:hAnsi="Times New Roman" w:cs="Times New Roman"/>
                <w:color w:val="auto"/>
                <w:lang w:eastAsia="uk-UA" w:bidi="ar-SA"/>
              </w:rPr>
            </w:pPr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>Кінцевий строк подання тендерних пропозиці</w:t>
            </w:r>
            <w:r w:rsidRPr="001D3E3B">
              <w:rPr>
                <w:rFonts w:ascii="Times New Roman" w:hAnsi="Times New Roman" w:cs="Times New Roman"/>
                <w:color w:val="auto"/>
                <w:lang w:eastAsia="uk-UA" w:bidi="ar-SA"/>
              </w:rPr>
              <w:t xml:space="preserve">й: </w:t>
            </w:r>
            <w:r>
              <w:rPr>
                <w:rFonts w:ascii="Times New Roman" w:hAnsi="Times New Roman" w:cs="Times New Roman"/>
                <w:color w:val="auto"/>
                <w:lang w:eastAsia="uk-UA" w:bidi="ar-SA"/>
              </w:rPr>
              <w:t>0</w:t>
            </w:r>
            <w:r>
              <w:rPr>
                <w:rFonts w:ascii="Times New Roman" w:hAnsi="Times New Roman"/>
                <w:b/>
                <w:color w:val="auto"/>
                <w:lang w:val="ru-RU" w:eastAsia="uk-UA" w:bidi="ar-SA"/>
              </w:rPr>
              <w:t>3.04</w:t>
            </w:r>
            <w:r w:rsidRPr="001D3E3B">
              <w:rPr>
                <w:rFonts w:ascii="Times New Roman" w:hAnsi="Times New Roman"/>
                <w:b/>
                <w:color w:val="auto"/>
                <w:lang w:val="ru-RU" w:eastAsia="uk-UA" w:bidi="ar-SA"/>
              </w:rPr>
              <w:t>.2023 0</w:t>
            </w:r>
            <w:r>
              <w:rPr>
                <w:rFonts w:ascii="Times New Roman" w:hAnsi="Times New Roman"/>
                <w:b/>
                <w:color w:val="auto"/>
                <w:lang w:eastAsia="uk-UA" w:bidi="ar-SA"/>
              </w:rPr>
              <w:t>0</w:t>
            </w:r>
            <w:r w:rsidRPr="001D3E3B">
              <w:rPr>
                <w:rFonts w:ascii="Times New Roman" w:hAnsi="Times New Roman"/>
                <w:b/>
                <w:color w:val="auto"/>
                <w:lang w:val="ru-RU" w:eastAsia="uk-UA" w:bidi="ar-SA"/>
              </w:rPr>
              <w:t>:00</w:t>
            </w:r>
          </w:p>
          <w:p w:rsidR="00D308BE" w:rsidRPr="00300F04" w:rsidRDefault="00D308BE" w:rsidP="00D308BE">
            <w:pPr>
              <w:suppressAutoHyphens w:val="0"/>
              <w:ind w:right="120" w:firstLine="312"/>
              <w:jc w:val="both"/>
              <w:rPr>
                <w:rFonts w:ascii="Times New Roman" w:hAnsi="Times New Roman" w:cs="Times New Roman"/>
                <w:color w:val="auto"/>
                <w:lang w:eastAsia="uk-UA" w:bidi="ar-SA"/>
              </w:rPr>
            </w:pPr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>Отримана тендерна пропозиція автоматично вноситься до реєстру.</w:t>
            </w:r>
          </w:p>
          <w:p w:rsidR="00580D1E" w:rsidRPr="00BD30BA" w:rsidRDefault="00D308BE" w:rsidP="00D308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>закупівель</w:t>
            </w:r>
            <w:proofErr w:type="spellEnd"/>
            <w:r w:rsidRPr="00300F04">
              <w:rPr>
                <w:rFonts w:ascii="Times New Roman" w:hAnsi="Times New Roman" w:cs="Times New Roman"/>
                <w:color w:val="auto"/>
                <w:lang w:eastAsia="uk-UA" w:bidi="ar-SA"/>
              </w:rPr>
              <w:t>.</w:t>
            </w:r>
          </w:p>
        </w:tc>
      </w:tr>
    </w:tbl>
    <w:p w:rsidR="00580D1E" w:rsidRPr="00580D1E" w:rsidRDefault="00580D1E" w:rsidP="00C22048">
      <w:pPr>
        <w:pStyle w:val="Default"/>
        <w:ind w:firstLine="284"/>
        <w:jc w:val="both"/>
        <w:rPr>
          <w:color w:val="auto"/>
          <w:shd w:val="clear" w:color="auto" w:fill="FFFFFF"/>
          <w:lang w:val="ru-RU"/>
        </w:rPr>
      </w:pPr>
    </w:p>
    <w:p w:rsidR="00713684" w:rsidRDefault="00713684" w:rsidP="00C22048">
      <w:pPr>
        <w:pStyle w:val="Default"/>
        <w:ind w:firstLine="284"/>
        <w:jc w:val="both"/>
        <w:rPr>
          <w:color w:val="auto"/>
          <w:shd w:val="clear" w:color="auto" w:fill="FFFFFF"/>
          <w:lang w:val="ru-RU"/>
        </w:rPr>
      </w:pPr>
    </w:p>
    <w:p w:rsidR="00580D1E" w:rsidRPr="00580D1E" w:rsidRDefault="00580D1E" w:rsidP="00C22048">
      <w:pPr>
        <w:pStyle w:val="Default"/>
        <w:ind w:firstLine="284"/>
        <w:jc w:val="both"/>
        <w:rPr>
          <w:color w:val="auto"/>
          <w:shd w:val="clear" w:color="auto" w:fill="FFFFFF"/>
          <w:lang w:val="ru-RU"/>
        </w:rPr>
      </w:pPr>
    </w:p>
    <w:p w:rsidR="00713684" w:rsidRDefault="00713684" w:rsidP="00C22048">
      <w:pPr>
        <w:pStyle w:val="Default"/>
        <w:ind w:firstLine="284"/>
        <w:jc w:val="both"/>
        <w:rPr>
          <w:color w:val="auto"/>
          <w:shd w:val="clear" w:color="auto" w:fill="FFFFFF"/>
        </w:rPr>
      </w:pPr>
    </w:p>
    <w:p w:rsidR="00713684" w:rsidRDefault="00713684" w:rsidP="00C22048">
      <w:pPr>
        <w:pStyle w:val="Default"/>
        <w:ind w:firstLine="284"/>
        <w:jc w:val="both"/>
        <w:rPr>
          <w:color w:val="auto"/>
          <w:shd w:val="clear" w:color="auto" w:fill="FFFFFF"/>
        </w:rPr>
      </w:pPr>
    </w:p>
    <w:p w:rsidR="00C22048" w:rsidRPr="00066F02" w:rsidRDefault="00C22048" w:rsidP="00C22048">
      <w:pPr>
        <w:pStyle w:val="Default"/>
        <w:ind w:firstLine="284"/>
        <w:jc w:val="both"/>
        <w:rPr>
          <w:color w:val="333333"/>
          <w:shd w:val="clear" w:color="auto" w:fill="FFFFFF"/>
        </w:rPr>
      </w:pPr>
      <w:r w:rsidRPr="00C22048">
        <w:rPr>
          <w:color w:val="auto"/>
          <w:highlight w:val="yellow"/>
          <w:shd w:val="clear" w:color="auto" w:fill="FFFFFF"/>
        </w:rPr>
        <w:t>ДО ЗМІН</w:t>
      </w:r>
    </w:p>
    <w:p w:rsidR="00A065B9" w:rsidRDefault="00A065B9" w:rsidP="00A065B9">
      <w:pPr>
        <w:widowControl w:val="0"/>
        <w:shd w:val="clear" w:color="auto" w:fill="FFFFFF"/>
        <w:suppressAutoHyphens w:val="0"/>
        <w:spacing w:before="120" w:after="240" w:line="259" w:lineRule="auto"/>
        <w:ind w:firstLine="284"/>
        <w:jc w:val="right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7F2214">
        <w:rPr>
          <w:rFonts w:ascii="Times New Roman" w:hAnsi="Times New Roman" w:cs="Times New Roman"/>
          <w:b/>
          <w:color w:val="auto"/>
          <w:lang w:val="uk-UA" w:eastAsia="uk-UA" w:bidi="ar-SA"/>
        </w:rPr>
        <w:t>ДОДАТОК 4 ДО ТЕНДЕРНОЇ ДОКУМЕНТАЦІЇ</w:t>
      </w:r>
    </w:p>
    <w:p w:rsidR="00A065B9" w:rsidRPr="00E545D4" w:rsidRDefault="00A065B9" w:rsidP="00A065B9">
      <w:pPr>
        <w:suppressAutoHyphens w:val="0"/>
        <w:ind w:firstLine="284"/>
        <w:jc w:val="both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3D1453"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СПОСІБ ДОКУМЕНТАЛЬНОГО ПІДТВЕРДЖЕННЯ ІНФОРМАЦІЇ ДЛЯ ПЕРЕМОЖЦЯ, ЩОДО ВІДСУТНОСТІ ПІДСТАВ, ВИЗНАЧЕНИХ У </w:t>
      </w:r>
      <w:r>
        <w:rPr>
          <w:rFonts w:ascii="Times New Roman" w:hAnsi="Times New Roman" w:cs="Times New Roman"/>
          <w:b/>
          <w:color w:val="auto"/>
          <w:lang w:val="uk-UA" w:eastAsia="uk-UA" w:bidi="ar-SA"/>
        </w:rPr>
        <w:t>ПУНКТІ 44 ОСОБЛИВОСТЕЙ</w:t>
      </w:r>
      <w:r w:rsidRPr="00E545D4"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. </w:t>
      </w:r>
    </w:p>
    <w:p w:rsidR="00A065B9" w:rsidRDefault="00A065B9" w:rsidP="00A065B9">
      <w:pPr>
        <w:shd w:val="clear" w:color="auto" w:fill="FFFFFF"/>
        <w:suppressAutoHyphens w:val="0"/>
        <w:ind w:firstLine="284"/>
        <w:jc w:val="center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A065B9" w:rsidRPr="0041786D" w:rsidRDefault="00A065B9" w:rsidP="00A065B9">
      <w:pPr>
        <w:shd w:val="clear" w:color="auto" w:fill="FFFFFF"/>
        <w:suppressAutoHyphens w:val="0"/>
        <w:ind w:firstLine="284"/>
        <w:jc w:val="center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A065B9" w:rsidRDefault="00A065B9" w:rsidP="00A065B9">
      <w:pPr>
        <w:suppressAutoHyphens w:val="0"/>
        <w:ind w:firstLine="284"/>
        <w:jc w:val="both"/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</w:pPr>
      <w:r w:rsidRPr="001F6B18">
        <w:rPr>
          <w:rFonts w:ascii="Times New Roman" w:hAnsi="Times New Roman" w:cs="Times New Roman"/>
          <w:color w:val="auto"/>
          <w:sz w:val="22"/>
          <w:szCs w:val="22"/>
          <w:lang w:val="uk-UA" w:eastAsia="uk-UA" w:bidi="ar-SA"/>
        </w:rPr>
        <w:t xml:space="preserve">1. 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документи, що підтверджують відсутність підстав, зазначених у </w:t>
      </w:r>
      <w:hyperlink r:id="rId7" w:anchor="n401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підпунктах 3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, </w:t>
      </w:r>
      <w:hyperlink r:id="rId8" w:anchor="n403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5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, </w:t>
      </w:r>
      <w:hyperlink r:id="rId9" w:anchor="n404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6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і </w:t>
      </w:r>
      <w:hyperlink r:id="rId10" w:anchor="n410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12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та 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в </w:t>
      </w:r>
      <w:hyperlink r:id="rId11" w:anchor="n411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абзаці чотирнадцятому</w:t>
        </w:r>
      </w:hyperlink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пункту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44</w:t>
      </w:r>
      <w:r w:rsidRPr="001E01AC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Особливостей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. </w:t>
      </w:r>
    </w:p>
    <w:p w:rsidR="00A065B9" w:rsidRPr="00E545D4" w:rsidRDefault="00A065B9" w:rsidP="00A065B9">
      <w:pPr>
        <w:suppressAutoHyphens w:val="0"/>
        <w:ind w:firstLine="284"/>
        <w:jc w:val="both"/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</w:pPr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lastRenderedPageBreak/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12" w:tgtFrame="_blank" w:history="1">
        <w:r w:rsidRPr="00E545D4">
          <w:rPr>
            <w:rFonts w:ascii="Times New Roman" w:hAnsi="Times New Roman"/>
            <w:bCs/>
            <w:i/>
            <w:color w:val="auto"/>
            <w:kern w:val="1"/>
            <w:sz w:val="22"/>
            <w:szCs w:val="22"/>
            <w:lang w:val="uk-UA" w:eastAsia="ar-SA" w:bidi="ar-SA"/>
          </w:rPr>
          <w:t>Законом України</w:t>
        </w:r>
      </w:hyperlink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 xml:space="preserve"> 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A065B9" w:rsidRDefault="00A065B9" w:rsidP="00A065B9">
      <w:pPr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98"/>
        <w:gridCol w:w="5641"/>
      </w:tblGrid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065B9" w:rsidRPr="003D1453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bookmarkStart w:id="1" w:name="_Hlk118370859"/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пункту 44 Особливостей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065B9" w:rsidRPr="003D1453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Переможець торгів на виконання 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пункту 44 Особливостей</w:t>
            </w: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повинен надати інформацію, наведену нижче**</w:t>
            </w:r>
          </w:p>
        </w:tc>
      </w:tr>
      <w:tr w:rsidR="00A065B9" w:rsidRPr="00851D01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5B9" w:rsidRDefault="00A065B9" w:rsidP="004F36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3 пункту 44 Особливостей</w:t>
            </w:r>
          </w:p>
          <w:p w:rsidR="00A065B9" w:rsidRDefault="00A065B9" w:rsidP="004F36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</w:t>
            </w: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B9" w:rsidRPr="00B11C33" w:rsidRDefault="00A065B9" w:rsidP="004F36EF">
            <w:pPr>
              <w:ind w:firstLine="284"/>
              <w:rPr>
                <w:rFonts w:ascii="Times New Roman" w:hAnsi="Times New Roman" w:cs="Times New Roman"/>
                <w:bCs/>
                <w:strike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Інформацій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на довідка з Єдиного державного реєстру осіб, які вчинили корупційні або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пов’яз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ані з корупцією правопорушення,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згідно з якою не буде знайдено інформа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ції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про корупційні або пов’язані з корупцією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правопорушення </w:t>
            </w:r>
            <w:r w:rsidRPr="00B11C33">
              <w:rPr>
                <w:rFonts w:ascii="Times New Roman" w:hAnsi="Times New Roman" w:cs="Times New Roman"/>
                <w:bCs/>
                <w:strike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службової (посадової) особи учасника-переможця процедури закупівлі, яку уповноважено учасником-переможцем представляти його інтереси під час проведення процедури закупівлі/фізичну особу, яка є учасником-переможцем. </w:t>
            </w: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Документ повинен бути не </w:t>
            </w:r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більше </w:t>
            </w:r>
            <w:proofErr w:type="spellStart"/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тридцятиденної</w:t>
            </w:r>
            <w:proofErr w:type="spellEnd"/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давнини відносно дати подання документ</w:t>
            </w: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а.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"/>
                <w:szCs w:val="22"/>
                <w:lang w:val="uk-UA" w:eastAsia="ar-SA" w:bidi="ar-SA"/>
              </w:rPr>
            </w:pPr>
          </w:p>
          <w:p w:rsidR="00A065B9" w:rsidRPr="00E73191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</w:pPr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>вебресурсі</w:t>
            </w:r>
            <w:proofErr w:type="spellEnd"/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</w:t>
            </w:r>
            <w:r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>.</w:t>
            </w:r>
          </w:p>
        </w:tc>
      </w:tr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5 пункту 44 Особливостей</w:t>
            </w:r>
          </w:p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5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10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Витяг з інформаційно-аналітичної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системи «О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блік відомостей про притягнення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особи до к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римінальної відповідальності та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ная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вності судимості» сформований у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паперовій аб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о електронній формі, що містить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інформацію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про  відсутність судимості або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обме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жень, передбачених кримінальним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процесуальним законода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вством України щодо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фізичної о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соби, яка є учасником процедури закупівлі/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uk-UA" w:eastAsia="uk-UA" w:bidi="ar-SA"/>
              </w:rPr>
              <w:t xml:space="preserve"> </w:t>
            </w:r>
            <w:r w:rsidRPr="00580D1E">
              <w:rPr>
                <w:rFonts w:ascii="Times New Roman" w:hAnsi="Times New Roman" w:cs="Times New Roman"/>
                <w:bCs/>
                <w:strike/>
                <w:color w:val="auto"/>
                <w:kern w:val="1"/>
                <w:sz w:val="22"/>
                <w:szCs w:val="22"/>
                <w:lang w:val="uk-UA" w:eastAsia="ar-SA" w:bidi="ar-SA"/>
              </w:rPr>
              <w:t>службової (посадової) особи учасника процедури закупівлі, яка підписала тендерну пропозицію (або уповноважена на підписання договору в разі переговорної процедури закупівлі</w:t>
            </w:r>
            <w:r w:rsidRPr="008F3039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)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strike/>
                <w:color w:val="auto"/>
                <w:kern w:val="1"/>
                <w:u w:val="single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Документ повинен бути не більше </w:t>
            </w:r>
            <w:proofErr w:type="spellStart"/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тридцятиденної</w:t>
            </w:r>
            <w:proofErr w:type="spellEnd"/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давнини відносно дати подання документа.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/>
                <w:bCs/>
                <w:i/>
                <w:color w:val="auto"/>
                <w:kern w:val="1"/>
                <w:lang w:eastAsia="uk-UA" w:bidi="ar-SA"/>
              </w:rPr>
            </w:pP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Переможець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 xml:space="preserve">може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отрим</w:t>
            </w:r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>ати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витяг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за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посиланням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 </w:t>
            </w:r>
          </w:p>
          <w:p w:rsidR="00A065B9" w:rsidRDefault="00851D01" w:rsidP="004F36EF">
            <w:pPr>
              <w:ind w:firstLine="284"/>
              <w:rPr>
                <w:rFonts w:ascii="Times New Roman" w:hAnsi="Times New Roman" w:cs="Times New Roman"/>
                <w:i/>
                <w:color w:val="auto"/>
                <w:kern w:val="36"/>
                <w:sz w:val="22"/>
                <w:szCs w:val="22"/>
                <w:u w:val="single"/>
                <w:lang w:eastAsia="uk-UA" w:bidi="ar-SA"/>
              </w:rPr>
            </w:pPr>
            <w:hyperlink r:id="rId13" w:history="1">
              <w:r w:rsidR="00A065B9" w:rsidRPr="00CE23D7">
                <w:rPr>
                  <w:rStyle w:val="a3"/>
                  <w:rFonts w:ascii="Times New Roman" w:hAnsi="Times New Roman"/>
                  <w:i/>
                  <w:kern w:val="36"/>
                  <w:sz w:val="22"/>
                  <w:szCs w:val="22"/>
                  <w:lang w:eastAsia="uk-UA" w:bidi="ar-SA"/>
                </w:rPr>
                <w:t>https://vytiah.mvs.gov.ua/app/landing</w:t>
              </w:r>
            </w:hyperlink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color w:val="auto"/>
                <w:kern w:val="1"/>
                <w:lang w:val="uk-UA" w:eastAsia="ar-SA" w:bidi="ar-SA"/>
              </w:rPr>
            </w:pPr>
          </w:p>
        </w:tc>
      </w:tr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6 пункту 44 Особливостей</w:t>
            </w:r>
          </w:p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56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5B9" w:rsidRPr="003D1453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color w:val="auto"/>
                <w:kern w:val="1"/>
                <w:lang w:val="uk-UA" w:eastAsia="ar-SA" w:bidi="ar-SA"/>
              </w:rPr>
            </w:pPr>
          </w:p>
        </w:tc>
      </w:tr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12 пункту 44 Особливостей</w:t>
            </w:r>
          </w:p>
          <w:p w:rsidR="00A065B9" w:rsidRDefault="00A065B9" w:rsidP="004F36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3D1453" w:rsidRDefault="00A065B9" w:rsidP="004F36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B9" w:rsidRPr="003D1453" w:rsidRDefault="00A065B9" w:rsidP="004F36EF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Cs/>
                <w:strike/>
                <w:color w:val="auto"/>
                <w:kern w:val="1"/>
                <w:lang w:val="uk-UA" w:eastAsia="ar-SA" w:bidi="ar-SA"/>
              </w:rPr>
            </w:pPr>
          </w:p>
        </w:tc>
      </w:tr>
      <w:tr w:rsidR="00A065B9" w:rsidRPr="003D1453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065B9" w:rsidRPr="008F3039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абзацу 14 пункту 44 Особливостей</w:t>
            </w:r>
          </w:p>
          <w:p w:rsidR="00A065B9" w:rsidRPr="003D1453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065B9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Pr="00CA4E37" w:rsidRDefault="00A065B9" w:rsidP="004F36EF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Переможець торгів на виконання 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абзацу 14 пункту 44 Особливостей</w:t>
            </w: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повинен надати інформацію, наведену нижче**</w:t>
            </w:r>
          </w:p>
        </w:tc>
      </w:tr>
      <w:tr w:rsidR="00A065B9" w:rsidRPr="00851D01" w:rsidTr="00B11C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B9" w:rsidRDefault="00A065B9" w:rsidP="004F36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>Абзац 14 пункту 44 Особливостей</w:t>
            </w:r>
          </w:p>
          <w:p w:rsidR="00A065B9" w:rsidRDefault="00A065B9" w:rsidP="004F36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A065B9" w:rsidRDefault="00A065B9" w:rsidP="004F36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      </w:r>
          </w:p>
          <w:p w:rsidR="00A065B9" w:rsidRPr="00D913C8" w:rsidRDefault="00A065B9" w:rsidP="004F36EF">
            <w:pPr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</w:pP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A065B9" w:rsidRPr="00FE55F3" w:rsidRDefault="00A065B9" w:rsidP="004F36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val="uk-UA" w:eastAsia="ar-SA" w:bidi="ar-SA"/>
              </w:rPr>
            </w:pP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Довідка в довільній формі за підписом </w:t>
            </w:r>
            <w:r w:rsidRPr="003D1453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керівника або особи уповноваженої учасником на підписання тендерної пропозиції про відсутність фактів не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або</w:t>
            </w:r>
          </w:p>
          <w:p w:rsidR="00A065B9" w:rsidRPr="003D1453" w:rsidRDefault="00A065B9" w:rsidP="004F36EF">
            <w:pPr>
              <w:ind w:firstLine="284"/>
              <w:rPr>
                <w:rFonts w:ascii="Times New Roman" w:hAnsi="Times New Roman" w:cs="Times New Roman"/>
                <w:strike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lang w:val="uk-UA" w:eastAsia="uk-UA" w:bidi="ar-S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bookmarkEnd w:id="1"/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  <w:r w:rsidRPr="0034401E"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Примітка: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1.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Учасник-нерези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дент повинен надати зазначені у </w:t>
      </w:r>
      <w:r w:rsidRPr="0034401E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цьому Додатку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документи з урахуванням особливостей законодавства країни, в якій цей учасник зареєстрований (аналоги документів). У разі подання аналогу документу або у разі відсутності такого документу та його аналогу учасник-нерезидент повинен додати до тендерної пропозиції пояснювальну записку із зазначенням назви документу/інформації,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відсутності.</w:t>
      </w:r>
    </w:p>
    <w:p w:rsidR="007E6E6D" w:rsidRPr="002322D6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*</w:t>
      </w:r>
      <w:r w:rsidRPr="00241EA6">
        <w:rPr>
          <w:rFonts w:ascii="Calibri" w:hAnsi="Calibri" w:cs="Calibri"/>
          <w:color w:val="auto"/>
          <w:sz w:val="22"/>
          <w:szCs w:val="22"/>
          <w:lang w:val="uk-UA" w:eastAsia="uk-UA" w:bidi="ar-SA"/>
        </w:rPr>
        <w:t xml:space="preserve"> </w:t>
      </w:r>
      <w:r w:rsidRPr="00241EA6">
        <w:rPr>
          <w:rFonts w:ascii="Times New Roman" w:hAnsi="Times New Roman" w:cs="Calibri"/>
          <w:i/>
          <w:kern w:val="1"/>
          <w:sz w:val="18"/>
          <w:szCs w:val="18"/>
          <w:lang w:val="uk-UA" w:eastAsia="ar-SA" w:bidi="ar-SA"/>
        </w:rPr>
        <w:t xml:space="preserve"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Ця вимога не стосується оригіналів або належним чином засвідчених копій оригіналів документів виданих органами державної влади, підприємствами / установами / організаціями іноземних держав. Разом з такими документами обов’язково подається їх переклад українською мовою. Переклад (або </w:t>
      </w:r>
      <w:r w:rsidRPr="00241EA6">
        <w:rPr>
          <w:rFonts w:ascii="Times New Roman" w:hAnsi="Times New Roman" w:cs="Calibri"/>
          <w:i/>
          <w:kern w:val="1"/>
          <w:sz w:val="18"/>
          <w:szCs w:val="18"/>
          <w:lang w:val="uk-UA" w:eastAsia="ar-SA" w:bidi="ar-SA"/>
        </w:rPr>
        <w:lastRenderedPageBreak/>
        <w:t>справжність підпису перекладача)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2. </w:t>
      </w:r>
      <w:r w:rsidRPr="0034401E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У разі подання тендерної пропозиції об’єднанням учасників до кожного з учасників, які входять у склад об’єднання застосовуються аналогічні, як до учасника та переможця вим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оги відповідно до цього Додатка та тендерної документації.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3.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У випадку внесення змін до законодавства щодо вказаних у 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цьому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д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одатку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документів, які повинен надати переможець торгів (місце, спосіб видачі/отримання, форма чи вигляд документу, ліквідація чи </w:t>
      </w:r>
      <w:proofErr w:type="spellStart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реорганізанція</w:t>
      </w:r>
      <w:proofErr w:type="spellEnd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уповноваженого органу, тощо) переможець торгів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4.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У випадку отримання переможцем торгів вказаних у 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цьому додатку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документів у визначеному чинним законодавством електронному виді або іншому, але такому, який дає можливість онлайн перевірки їх справжності (легітимності / автентичності) переможець оприлюднює їх через електронний майданчик в системі «</w:t>
      </w:r>
      <w:proofErr w:type="spellStart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Прозорро</w:t>
      </w:r>
      <w:proofErr w:type="spellEnd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» у формі, що дає можливість онлайн перевірки їх справжності (легітимності / автентичності).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5.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За достовірність наданої учасником в складі тендерної пропозиції за предметом закупівлі інформації та документів, відповідальність несе безпосередньо учасник та його посадові (службові особи).</w:t>
      </w:r>
    </w:p>
    <w:p w:rsidR="007E6E6D" w:rsidRPr="00101F03" w:rsidRDefault="007E6E6D" w:rsidP="007E6E6D">
      <w:pPr>
        <w:ind w:firstLine="284"/>
        <w:jc w:val="both"/>
        <w:rPr>
          <w:rFonts w:ascii="Times New Roman" w:hAnsi="Times New Roman" w:cs="Calibri"/>
          <w:i/>
          <w:iCs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6. </w:t>
      </w:r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Документи та інформація, які вимагаються замовником відповідно до вимог цієї тендерної документації, але не передбачені чинним законодавством України для учасників або законодавством країн учасників-нерезидентів для таких учасників, не подаються в складі своєї тендерної пропозиції. При цьому, такий учасник повинен у складі тендерної пропозиції надати або аналог документу (при наявності) з відповідним поясненням подання аналогу документу або пояснювальну записку з обґрунтуванням та причинами неподання документів та інформації, у </w:t>
      </w:r>
      <w:proofErr w:type="spellStart"/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т.ч</w:t>
      </w:r>
      <w:proofErr w:type="spellEnd"/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. аналогів документу/інформації.</w:t>
      </w:r>
    </w:p>
    <w:p w:rsidR="00C22048" w:rsidRDefault="00C22048" w:rsidP="00C22048">
      <w:pPr>
        <w:widowControl w:val="0"/>
        <w:shd w:val="clear" w:color="auto" w:fill="FFFFFF"/>
        <w:suppressAutoHyphens w:val="0"/>
        <w:spacing w:before="120" w:after="240" w:line="259" w:lineRule="auto"/>
        <w:ind w:firstLine="284"/>
        <w:jc w:val="right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C22048" w:rsidRDefault="00C22048" w:rsidP="00C22048">
      <w:pPr>
        <w:widowControl w:val="0"/>
        <w:shd w:val="clear" w:color="auto" w:fill="FFFFFF"/>
        <w:suppressAutoHyphens w:val="0"/>
        <w:spacing w:before="120" w:after="240" w:line="259" w:lineRule="auto"/>
        <w:ind w:firstLine="284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C22048">
        <w:rPr>
          <w:rFonts w:ascii="Times New Roman" w:hAnsi="Times New Roman" w:cs="Times New Roman"/>
          <w:b/>
          <w:color w:val="auto"/>
          <w:highlight w:val="yellow"/>
          <w:lang w:val="uk-UA" w:eastAsia="uk-UA" w:bidi="ar-SA"/>
        </w:rPr>
        <w:t>ПІСЛЯ</w:t>
      </w:r>
      <w:r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 </w:t>
      </w:r>
      <w:r w:rsidRPr="00C22048">
        <w:rPr>
          <w:rFonts w:ascii="Times New Roman" w:hAnsi="Times New Roman" w:cs="Times New Roman"/>
          <w:b/>
          <w:color w:val="auto"/>
          <w:highlight w:val="yellow"/>
          <w:lang w:val="uk-UA" w:eastAsia="uk-UA" w:bidi="ar-SA"/>
        </w:rPr>
        <w:t>ЗМІН</w:t>
      </w:r>
    </w:p>
    <w:p w:rsidR="00C22048" w:rsidRDefault="00C22048" w:rsidP="00C22048">
      <w:pPr>
        <w:widowControl w:val="0"/>
        <w:shd w:val="clear" w:color="auto" w:fill="FFFFFF"/>
        <w:suppressAutoHyphens w:val="0"/>
        <w:spacing w:before="120" w:after="240" w:line="259" w:lineRule="auto"/>
        <w:ind w:firstLine="284"/>
        <w:jc w:val="right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7F2214">
        <w:rPr>
          <w:rFonts w:ascii="Times New Roman" w:hAnsi="Times New Roman" w:cs="Times New Roman"/>
          <w:b/>
          <w:color w:val="auto"/>
          <w:lang w:val="uk-UA" w:eastAsia="uk-UA" w:bidi="ar-SA"/>
        </w:rPr>
        <w:t>ДОДАТОК 4 ДО ТЕНДЕРНОЇ ДОКУМЕНТАЦІЇ</w:t>
      </w:r>
    </w:p>
    <w:p w:rsidR="00C22048" w:rsidRPr="00E545D4" w:rsidRDefault="00C22048" w:rsidP="00C22048">
      <w:pPr>
        <w:suppressAutoHyphens w:val="0"/>
        <w:ind w:firstLine="284"/>
        <w:jc w:val="both"/>
        <w:rPr>
          <w:rFonts w:ascii="Times New Roman" w:hAnsi="Times New Roman" w:cs="Times New Roman"/>
          <w:b/>
          <w:color w:val="auto"/>
          <w:lang w:val="uk-UA" w:eastAsia="uk-UA" w:bidi="ar-SA"/>
        </w:rPr>
      </w:pPr>
      <w:r w:rsidRPr="003D1453"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СПОСІБ ДОКУМЕНТАЛЬНОГО ПІДТВЕРДЖЕННЯ ІНФОРМАЦІЇ ДЛЯ ПЕРЕМОЖЦЯ, ЩОДО ВІДСУТНОСТІ ПІДСТАВ, ВИЗНАЧЕНИХ У </w:t>
      </w:r>
      <w:r>
        <w:rPr>
          <w:rFonts w:ascii="Times New Roman" w:hAnsi="Times New Roman" w:cs="Times New Roman"/>
          <w:b/>
          <w:color w:val="auto"/>
          <w:lang w:val="uk-UA" w:eastAsia="uk-UA" w:bidi="ar-SA"/>
        </w:rPr>
        <w:t>ПУНКТІ 44 ОСОБЛИВОСТЕЙ</w:t>
      </w:r>
      <w:r w:rsidRPr="00E545D4">
        <w:rPr>
          <w:rFonts w:ascii="Times New Roman" w:hAnsi="Times New Roman" w:cs="Times New Roman"/>
          <w:b/>
          <w:color w:val="auto"/>
          <w:lang w:val="uk-UA" w:eastAsia="uk-UA" w:bidi="ar-SA"/>
        </w:rPr>
        <w:t xml:space="preserve">. </w:t>
      </w:r>
    </w:p>
    <w:p w:rsidR="00C22048" w:rsidRDefault="00C22048" w:rsidP="00C22048">
      <w:pPr>
        <w:shd w:val="clear" w:color="auto" w:fill="FFFFFF"/>
        <w:suppressAutoHyphens w:val="0"/>
        <w:ind w:firstLine="284"/>
        <w:jc w:val="center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C22048" w:rsidRPr="0041786D" w:rsidRDefault="00C22048" w:rsidP="00C22048">
      <w:pPr>
        <w:shd w:val="clear" w:color="auto" w:fill="FFFFFF"/>
        <w:suppressAutoHyphens w:val="0"/>
        <w:ind w:firstLine="284"/>
        <w:jc w:val="center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C22048" w:rsidRDefault="00C22048" w:rsidP="00C22048">
      <w:pPr>
        <w:suppressAutoHyphens w:val="0"/>
        <w:ind w:firstLine="284"/>
        <w:jc w:val="both"/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</w:pPr>
      <w:r w:rsidRPr="001F6B18">
        <w:rPr>
          <w:rFonts w:ascii="Times New Roman" w:hAnsi="Times New Roman" w:cs="Times New Roman"/>
          <w:color w:val="auto"/>
          <w:sz w:val="22"/>
          <w:szCs w:val="22"/>
          <w:lang w:val="uk-UA" w:eastAsia="uk-UA" w:bidi="ar-SA"/>
        </w:rPr>
        <w:t xml:space="preserve">1. 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документи, що підтверджують відсутність підстав, зазначених у </w:t>
      </w:r>
      <w:hyperlink r:id="rId14" w:anchor="n401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підпунктах 3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, </w:t>
      </w:r>
      <w:hyperlink r:id="rId15" w:anchor="n403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5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, </w:t>
      </w:r>
      <w:hyperlink r:id="rId16" w:anchor="n404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6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і </w:t>
      </w:r>
      <w:hyperlink r:id="rId17" w:anchor="n410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12</w:t>
        </w:r>
      </w:hyperlink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та 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в </w:t>
      </w:r>
      <w:hyperlink r:id="rId18" w:anchor="n411" w:history="1">
        <w:r w:rsidRPr="00E545D4">
          <w:rPr>
            <w:rFonts w:ascii="Times New Roman" w:hAnsi="Times New Roman"/>
            <w:bCs/>
            <w:color w:val="auto"/>
            <w:kern w:val="1"/>
            <w:sz w:val="22"/>
            <w:szCs w:val="22"/>
            <w:lang w:val="uk-UA" w:eastAsia="ar-SA" w:bidi="ar-SA"/>
          </w:rPr>
          <w:t>абзаці чотирнадцятому</w:t>
        </w:r>
      </w:hyperlink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 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пункту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44</w:t>
      </w:r>
      <w:r w:rsidRPr="001E01AC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 </w:t>
      </w:r>
      <w:r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>Особливостей</w:t>
      </w:r>
      <w:r w:rsidRPr="00E545D4">
        <w:rPr>
          <w:rFonts w:ascii="Times New Roman" w:hAnsi="Times New Roman"/>
          <w:bCs/>
          <w:color w:val="auto"/>
          <w:kern w:val="1"/>
          <w:sz w:val="22"/>
          <w:szCs w:val="22"/>
          <w:lang w:val="uk-UA" w:eastAsia="ar-SA" w:bidi="ar-SA"/>
        </w:rPr>
        <w:t xml:space="preserve">. </w:t>
      </w:r>
    </w:p>
    <w:p w:rsidR="00C22048" w:rsidRPr="00E545D4" w:rsidRDefault="00C22048" w:rsidP="00C22048">
      <w:pPr>
        <w:suppressAutoHyphens w:val="0"/>
        <w:ind w:firstLine="284"/>
        <w:jc w:val="both"/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</w:pPr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19" w:tgtFrame="_blank" w:history="1">
        <w:r w:rsidRPr="00E545D4">
          <w:rPr>
            <w:rFonts w:ascii="Times New Roman" w:hAnsi="Times New Roman"/>
            <w:bCs/>
            <w:i/>
            <w:color w:val="auto"/>
            <w:kern w:val="1"/>
            <w:sz w:val="22"/>
            <w:szCs w:val="22"/>
            <w:lang w:val="uk-UA" w:eastAsia="ar-SA" w:bidi="ar-SA"/>
          </w:rPr>
          <w:t>Законом України</w:t>
        </w:r>
      </w:hyperlink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 xml:space="preserve"> 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закупівель</w:t>
      </w:r>
      <w:proofErr w:type="spellEnd"/>
      <w:r w:rsidRPr="00E545D4">
        <w:rPr>
          <w:rFonts w:ascii="Times New Roman" w:hAnsi="Times New Roman"/>
          <w:bCs/>
          <w:i/>
          <w:color w:val="auto"/>
          <w:kern w:val="1"/>
          <w:sz w:val="22"/>
          <w:szCs w:val="22"/>
          <w:lang w:val="uk-UA" w:eastAsia="ar-SA" w:bidi="ar-S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C22048" w:rsidRDefault="00C22048" w:rsidP="00C22048">
      <w:pPr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31"/>
        <w:gridCol w:w="6208"/>
      </w:tblGrid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22048" w:rsidRPr="003D1453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пункту 44 Особливостей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22048" w:rsidRPr="003D1453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Переможець торгів на виконання 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пункту 44 Особливостей</w:t>
            </w: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повинен надати інформацію, наведену нижче**</w:t>
            </w:r>
          </w:p>
        </w:tc>
      </w:tr>
      <w:tr w:rsidR="00C22048" w:rsidRPr="00851D01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48" w:rsidRDefault="00C22048" w:rsidP="00CA5A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3 пункту 44 Особливостей</w:t>
            </w:r>
          </w:p>
          <w:p w:rsidR="00C22048" w:rsidRDefault="00C22048" w:rsidP="00CA5A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3D1453" w:rsidRDefault="00C22048" w:rsidP="00CA5A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</w:t>
            </w: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</w:t>
            </w: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>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84" w:rsidRDefault="00C22048" w:rsidP="009851BB">
            <w:pPr>
              <w:ind w:firstLine="284"/>
              <w:jc w:val="center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>Інформацій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на довідка з Єдиного державного реєстру осіб, які вчинили корупційні або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пов’яз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ані з корупцією правопорушення,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згідно з якою не буде знайдено інформа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ції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про корупційні або пов’язані з корупцією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правопорушення </w:t>
            </w:r>
            <w:r w:rsidR="00713684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</w:t>
            </w:r>
            <w:r w:rsidR="00713684" w:rsidRPr="009851BB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u w:val="single"/>
                <w:lang w:val="uk-UA" w:eastAsia="ar-SA" w:bidi="ar-SA"/>
              </w:rPr>
              <w:t xml:space="preserve">керівника </w:t>
            </w:r>
            <w:r w:rsidR="00713684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учасника процедури закупівлі</w:t>
            </w:r>
          </w:p>
          <w:p w:rsidR="00C22048" w:rsidRDefault="009851BB" w:rsidP="009851BB">
            <w:pPr>
              <w:tabs>
                <w:tab w:val="left" w:pos="4233"/>
              </w:tabs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ab/>
            </w: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Документ повинен бути не </w:t>
            </w:r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більше </w:t>
            </w:r>
            <w:proofErr w:type="spellStart"/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тридцятиденної</w:t>
            </w:r>
            <w:proofErr w:type="spellEnd"/>
            <w:r w:rsidRPr="0016533C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давнини відносно дати подання документ</w:t>
            </w: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а.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</w:pPr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>вебресурсі</w:t>
            </w:r>
            <w:proofErr w:type="spellEnd"/>
            <w:r w:rsidRPr="00E73191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</w:t>
            </w:r>
            <w:r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  <w:t>.</w:t>
            </w:r>
          </w:p>
          <w:p w:rsidR="00580D1E" w:rsidRDefault="00580D1E" w:rsidP="00580D1E">
            <w:pPr>
              <w:ind w:firstLine="284"/>
              <w:rPr>
                <w:i/>
                <w:sz w:val="22"/>
                <w:szCs w:val="22"/>
                <w:shd w:val="clear" w:color="auto" w:fill="FFFFFF"/>
                <w:lang w:val="uk-UA" w:eastAsia="uk-UA"/>
              </w:rPr>
            </w:pPr>
            <w:r w:rsidRPr="00580D1E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Переможець може отримати довідку  за посиланням</w:t>
            </w:r>
          </w:p>
          <w:p w:rsidR="00580D1E" w:rsidRPr="007B17E3" w:rsidRDefault="00580D1E" w:rsidP="00580D1E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61741E">
              <w:rPr>
                <w:i/>
                <w:sz w:val="22"/>
                <w:szCs w:val="22"/>
                <w:shd w:val="clear" w:color="auto" w:fill="FFFFFF"/>
                <w:lang w:eastAsia="uk-UA"/>
              </w:rPr>
              <w:t> </w:t>
            </w:r>
          </w:p>
          <w:p w:rsidR="00580D1E" w:rsidRPr="00580D1E" w:rsidRDefault="00851D01" w:rsidP="00580D1E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  <w:u w:val="single"/>
                <w:lang w:val="uk-UA" w:eastAsia="ar-SA" w:bidi="ar-SA"/>
              </w:rPr>
            </w:pPr>
            <w:hyperlink r:id="rId20" w:history="1">
              <w:r w:rsidR="00580D1E" w:rsidRPr="00580D1E">
                <w:rPr>
                  <w:rStyle w:val="a3"/>
                  <w:rFonts w:ascii="Times New Roman" w:hAnsi="Times New Roman"/>
                  <w:bCs/>
                  <w:i/>
                  <w:sz w:val="22"/>
                  <w:szCs w:val="22"/>
                  <w:lang w:val="uk-UA" w:eastAsia="ar-SA" w:bidi="ar-SA"/>
                </w:rPr>
                <w:t>https://corruptinfo.nazk.gov.ua/reference/getpersonalreference/individual</w:t>
              </w:r>
            </w:hyperlink>
          </w:p>
        </w:tc>
      </w:tr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5 пункту 44 Особливостей</w:t>
            </w:r>
          </w:p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6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10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B11C33" w:rsidRDefault="00C22048" w:rsidP="00B11C33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Витяг з інформаційно-аналітичної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системи «О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блік відомостей про притягнення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особи до к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римінальної відповідальності та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ная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вності судимості» сформований у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паперовій аб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о електронній формі, що містить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інформацію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про  відсутність судимості або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обме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жень, передбачених кримінальним </w:t>
            </w:r>
            <w:r w:rsidRPr="00851D01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>процесуальним</w:t>
            </w:r>
            <w:r w:rsidRPr="00580D1E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законода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вством України щодо 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фізичної о</w:t>
            </w:r>
            <w: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соби, яка є учасником процедури закупівлі/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uk-UA" w:eastAsia="uk-UA" w:bidi="ar-SA"/>
              </w:rPr>
              <w:t xml:space="preserve"> </w:t>
            </w:r>
            <w:r w:rsidR="00B11C33" w:rsidRPr="00B11C3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uk-UA" w:eastAsia="uk-UA" w:bidi="ar-SA"/>
              </w:rPr>
              <w:t>керівника</w:t>
            </w:r>
            <w:r w:rsidRPr="008F3039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учасника процедури закупівлі, яка підписала тендерну пропозицію 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strike/>
                <w:color w:val="auto"/>
                <w:kern w:val="1"/>
                <w:u w:val="single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Документ повинен бути не більше </w:t>
            </w:r>
            <w:proofErr w:type="spellStart"/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>тридцятиденної</w:t>
            </w:r>
            <w:proofErr w:type="spellEnd"/>
            <w:r w:rsidRPr="003D1453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давнини відносно дати подання документа.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i/>
                <w:color w:val="auto"/>
                <w:kern w:val="1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/>
                <w:bCs/>
                <w:i/>
                <w:color w:val="auto"/>
                <w:kern w:val="1"/>
                <w:lang w:eastAsia="uk-UA" w:bidi="ar-SA"/>
              </w:rPr>
            </w:pP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Переможець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</w:t>
            </w:r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 xml:space="preserve">може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отрим</w:t>
            </w:r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val="uk-UA" w:eastAsia="uk-UA" w:bidi="ar-SA"/>
              </w:rPr>
              <w:t>ати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витяг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 xml:space="preserve"> за </w:t>
            </w:r>
            <w:proofErr w:type="spellStart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посиланням</w:t>
            </w:r>
            <w:proofErr w:type="spellEnd"/>
            <w:r w:rsidRPr="003D1453">
              <w:rPr>
                <w:rFonts w:ascii="Times New Roman" w:hAnsi="Times New Roman" w:cs="Times New Roman"/>
                <w:i/>
                <w:color w:val="auto"/>
                <w:kern w:val="1"/>
                <w:sz w:val="22"/>
                <w:szCs w:val="22"/>
                <w:shd w:val="clear" w:color="auto" w:fill="FFFFFF"/>
                <w:lang w:eastAsia="uk-UA" w:bidi="ar-SA"/>
              </w:rPr>
              <w:t> </w:t>
            </w:r>
          </w:p>
          <w:p w:rsidR="00C22048" w:rsidRDefault="00851D01" w:rsidP="00CA5AEF">
            <w:pPr>
              <w:ind w:firstLine="284"/>
              <w:rPr>
                <w:rFonts w:ascii="Times New Roman" w:hAnsi="Times New Roman" w:cs="Times New Roman"/>
                <w:i/>
                <w:color w:val="auto"/>
                <w:kern w:val="36"/>
                <w:sz w:val="22"/>
                <w:szCs w:val="22"/>
                <w:u w:val="single"/>
                <w:lang w:eastAsia="uk-UA" w:bidi="ar-SA"/>
              </w:rPr>
            </w:pPr>
            <w:hyperlink r:id="rId21" w:history="1">
              <w:r w:rsidR="00C22048" w:rsidRPr="00CE23D7">
                <w:rPr>
                  <w:rStyle w:val="a3"/>
                  <w:rFonts w:ascii="Times New Roman" w:hAnsi="Times New Roman"/>
                  <w:i/>
                  <w:kern w:val="36"/>
                  <w:sz w:val="22"/>
                  <w:szCs w:val="22"/>
                  <w:lang w:eastAsia="uk-UA" w:bidi="ar-SA"/>
                </w:rPr>
                <w:t>https://vytiah.mvs.gov.ua/app/landing</w:t>
              </w:r>
            </w:hyperlink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color w:val="auto"/>
                <w:kern w:val="1"/>
                <w:lang w:val="uk-UA" w:eastAsia="ar-SA" w:bidi="ar-SA"/>
              </w:rPr>
            </w:pPr>
          </w:p>
        </w:tc>
      </w:tr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6 пункту 44 Особливостей</w:t>
            </w:r>
          </w:p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62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2048" w:rsidRPr="003D1453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color w:val="auto"/>
                <w:kern w:val="1"/>
                <w:lang w:val="uk-UA" w:eastAsia="ar-SA" w:bidi="ar-SA"/>
              </w:rPr>
            </w:pPr>
          </w:p>
        </w:tc>
      </w:tr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12 пункту 44 Особливостей</w:t>
            </w:r>
          </w:p>
          <w:p w:rsidR="00C22048" w:rsidRDefault="00C22048" w:rsidP="00CA5AEF">
            <w:pPr>
              <w:ind w:firstLine="29"/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3D1453" w:rsidRDefault="00C22048" w:rsidP="00CA5AEF">
            <w:pPr>
              <w:ind w:firstLine="29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6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48" w:rsidRPr="003D1453" w:rsidRDefault="00C22048" w:rsidP="00CA5AEF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Cs/>
                <w:strike/>
                <w:color w:val="auto"/>
                <w:kern w:val="1"/>
                <w:lang w:val="uk-UA" w:eastAsia="ar-SA" w:bidi="ar-SA"/>
              </w:rPr>
            </w:pPr>
          </w:p>
        </w:tc>
      </w:tr>
      <w:tr w:rsidR="00C22048" w:rsidRPr="003D1453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22048" w:rsidRPr="008F3039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абзацу 14 пункту 44 Особливостей</w:t>
            </w:r>
          </w:p>
          <w:p w:rsidR="00C22048" w:rsidRPr="003D1453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lang w:val="uk-UA" w:eastAsia="ar-SA" w:bidi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22048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Pr="00CA4E37" w:rsidRDefault="00C22048" w:rsidP="00CA5AEF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Переможець торгів на виконання вимоги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абзацу 14 пункту 44 Особливостей</w:t>
            </w:r>
            <w:r w:rsidRPr="003D145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 повинен надати інформацію, наведену нижче**</w:t>
            </w:r>
          </w:p>
        </w:tc>
      </w:tr>
      <w:tr w:rsidR="00C22048" w:rsidRPr="00851D01" w:rsidTr="00713684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048" w:rsidRDefault="00C22048" w:rsidP="00CA5A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Абзац 14 пункту 44 Особливостей</w:t>
            </w:r>
          </w:p>
          <w:p w:rsidR="00C22048" w:rsidRDefault="00C22048" w:rsidP="00CA5A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</w:p>
          <w:p w:rsidR="00C22048" w:rsidRDefault="00C22048" w:rsidP="00CA5AEF">
            <w:pPr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</w:pP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</w:t>
            </w:r>
            <w:r w:rsidRPr="00FE55F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      </w:r>
          </w:p>
          <w:p w:rsidR="00C22048" w:rsidRPr="00D913C8" w:rsidRDefault="00C22048" w:rsidP="00CA5AEF">
            <w:pPr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</w:pP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C22048" w:rsidRPr="00FE55F3" w:rsidRDefault="00C22048" w:rsidP="00CA5AEF">
            <w:pPr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val="uk-UA" w:eastAsia="ar-SA" w:bidi="ar-SA"/>
              </w:rPr>
            </w:pPr>
            <w:r w:rsidRPr="00D913C8">
              <w:rPr>
                <w:rFonts w:ascii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  <w:lang w:val="uk-UA" w:eastAsia="ar-SA" w:bidi="ar-SA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lastRenderedPageBreak/>
              <w:t xml:space="preserve">Довідка в довільній формі за підписом </w:t>
            </w:r>
            <w:r w:rsidRPr="003D1453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lang w:val="uk-UA" w:eastAsia="ar-SA" w:bidi="ar-SA"/>
              </w:rPr>
              <w:t>керівника або особи уповноваженої учасником на підписання тендерної пропозиції про відсутність фактів не</w:t>
            </w: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bCs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bCs/>
                <w:color w:val="auto"/>
                <w:kern w:val="1"/>
                <w:sz w:val="22"/>
                <w:szCs w:val="22"/>
                <w:lang w:val="uk-UA" w:eastAsia="ar-SA" w:bidi="ar-SA"/>
              </w:rPr>
              <w:t>або</w:t>
            </w:r>
          </w:p>
          <w:p w:rsidR="00C22048" w:rsidRPr="003D1453" w:rsidRDefault="00C22048" w:rsidP="00CA5AEF">
            <w:pPr>
              <w:ind w:firstLine="284"/>
              <w:rPr>
                <w:rFonts w:ascii="Times New Roman" w:hAnsi="Times New Roman" w:cs="Times New Roman"/>
                <w:strike/>
                <w:color w:val="auto"/>
                <w:kern w:val="1"/>
                <w:lang w:val="uk-UA" w:eastAsia="ar-SA" w:bidi="ar-SA"/>
              </w:rPr>
            </w:pPr>
            <w:r w:rsidRPr="003D1453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  <w:lang w:val="uk-UA" w:eastAsia="uk-UA" w:bidi="ar-SA"/>
              </w:rPr>
              <w:lastRenderedPageBreak/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  <w:r w:rsidRPr="0034401E"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  <w:lastRenderedPageBreak/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uk-UA" w:eastAsia="uk-UA" w:bidi="ar-SA"/>
        </w:rPr>
      </w:pP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Примітка: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1.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Учасник-нерези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дент повинен надати зазначені у </w:t>
      </w:r>
      <w:r w:rsidRPr="0034401E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цьому Додатку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документи з урахуванням особливостей законодавства країни, в якій цей учасник зареєстрований (аналоги документів). У разі подання аналогу документу або у разі відсутності такого документу та його аналогу учасник-нерезидент повинен додати до тендерної пропозиції пояснювальну записку із зазначенням назви документу/інформації,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відсутності.</w:t>
      </w:r>
    </w:p>
    <w:p w:rsidR="007E6E6D" w:rsidRPr="002322D6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*</w:t>
      </w:r>
      <w:r w:rsidRPr="00241EA6">
        <w:rPr>
          <w:rFonts w:ascii="Calibri" w:hAnsi="Calibri" w:cs="Calibri"/>
          <w:color w:val="auto"/>
          <w:sz w:val="22"/>
          <w:szCs w:val="22"/>
          <w:lang w:val="uk-UA" w:eastAsia="uk-UA" w:bidi="ar-SA"/>
        </w:rPr>
        <w:t xml:space="preserve"> </w:t>
      </w:r>
      <w:r w:rsidRPr="00241EA6">
        <w:rPr>
          <w:rFonts w:ascii="Times New Roman" w:hAnsi="Times New Roman" w:cs="Calibri"/>
          <w:i/>
          <w:kern w:val="1"/>
          <w:sz w:val="18"/>
          <w:szCs w:val="18"/>
          <w:lang w:val="uk-UA" w:eastAsia="ar-SA" w:bidi="ar-SA"/>
        </w:rPr>
        <w:t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Ця вимога не стосується оригіналів або належним чином засвідчених копій оригіналів документів виданих органами державної влади, підприємствами / установами / організаціями іноземних держав. Разом з такими документами обов’язково подається їх переклад українською мовою. Переклад (або справжність підпису перекладача)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2. </w:t>
      </w:r>
      <w:r w:rsidRPr="0034401E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У разі подання тендерної пропозиції об’єднанням учасників до кожного з учасників, які входять у склад об’єднання застосовуються аналогічні, як до учасника та переможця вим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оги відповідно до цього Додатка та тендерної документації.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3.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У випадку внесення змін до законодавства щодо вказаних у 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цьому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д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одатку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документів, які повинен надати переможець торгів (місце, спосіб видачі/отримання, форма чи вигляд документу,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lastRenderedPageBreak/>
        <w:t xml:space="preserve">ліквідація чи </w:t>
      </w:r>
      <w:proofErr w:type="spellStart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реорганізанція</w:t>
      </w:r>
      <w:proofErr w:type="spellEnd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 уповноваженого органу, тощо) переможець торгів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4.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У випадку отримання переможцем торгів вказаних у </w:t>
      </w: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цьому додатку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документів у визначеному чинним законодавством електронному виді або іншому, але такому, який дає можливість онлайн перевірки їх справжності (легітимності / автентичності) переможець оприлюднює їх через електронний майданчик в системі «</w:t>
      </w:r>
      <w:proofErr w:type="spellStart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Прозорро</w:t>
      </w:r>
      <w:proofErr w:type="spellEnd"/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» у формі, що дає можливість онлайн перевірки їх справжності (легітимності / автентичності).</w:t>
      </w:r>
    </w:p>
    <w:p w:rsidR="007E6E6D" w:rsidRDefault="007E6E6D" w:rsidP="007E6E6D">
      <w:pPr>
        <w:ind w:firstLine="284"/>
        <w:jc w:val="both"/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5. </w:t>
      </w:r>
      <w:r w:rsidRPr="002322D6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За достовірність наданої учасником в складі тендерної пропозиції за предметом закупівлі інформації та документів, відповідальність несе безпосередньо учасник та його посадові (службові особи).</w:t>
      </w:r>
    </w:p>
    <w:p w:rsidR="007E6E6D" w:rsidRPr="00101F03" w:rsidRDefault="007E6E6D" w:rsidP="007E6E6D">
      <w:pPr>
        <w:ind w:firstLine="284"/>
        <w:jc w:val="both"/>
        <w:rPr>
          <w:rFonts w:ascii="Times New Roman" w:hAnsi="Times New Roman" w:cs="Calibri"/>
          <w:i/>
          <w:iCs/>
          <w:kern w:val="1"/>
          <w:sz w:val="22"/>
          <w:szCs w:val="22"/>
          <w:lang w:val="uk-UA" w:eastAsia="ar-SA" w:bidi="ar-SA"/>
        </w:rPr>
      </w:pPr>
      <w:r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6. </w:t>
      </w:r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 xml:space="preserve">Документи та інформація, які вимагаються замовником відповідно до вимог цієї тендерної документації, але не передбачені чинним законодавством України для учасників або законодавством країн учасників-нерезидентів для таких учасників, не подаються в складі своєї тендерної пропозиції. При цьому, такий учасник повинен у складі тендерної пропозиції надати або аналог документу (при наявності) з відповідним поясненням подання аналогу документу або пояснювальну записку з обґрунтуванням та причинами неподання документів та інформації, у </w:t>
      </w:r>
      <w:proofErr w:type="spellStart"/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т.ч</w:t>
      </w:r>
      <w:proofErr w:type="spellEnd"/>
      <w:r w:rsidRPr="00101F03">
        <w:rPr>
          <w:rFonts w:ascii="Times New Roman" w:hAnsi="Times New Roman" w:cs="Calibri"/>
          <w:i/>
          <w:kern w:val="1"/>
          <w:sz w:val="22"/>
          <w:szCs w:val="22"/>
          <w:lang w:val="uk-UA" w:eastAsia="ar-SA" w:bidi="ar-SA"/>
        </w:rPr>
        <w:t>. аналогів документу/інформації.</w:t>
      </w:r>
    </w:p>
    <w:p w:rsidR="007E6E6D" w:rsidRDefault="007E6E6D" w:rsidP="007E6E6D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uk-UA" w:bidi="ar-SA"/>
        </w:rPr>
      </w:pPr>
    </w:p>
    <w:p w:rsidR="007E6E6D" w:rsidRDefault="007E6E6D" w:rsidP="007E6E6D">
      <w:pPr>
        <w:suppressAutoHyphens w:val="0"/>
        <w:spacing w:after="160" w:line="259" w:lineRule="auto"/>
        <w:ind w:firstLine="284"/>
        <w:jc w:val="both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7E6E6D" w:rsidRDefault="007E6E6D" w:rsidP="007E6E6D">
      <w:pPr>
        <w:suppressAutoHyphens w:val="0"/>
        <w:spacing w:after="160" w:line="259" w:lineRule="auto"/>
        <w:ind w:firstLine="284"/>
        <w:jc w:val="both"/>
        <w:rPr>
          <w:rFonts w:ascii="Times New Roman" w:hAnsi="Times New Roman" w:cs="Times New Roman"/>
          <w:b/>
          <w:color w:val="auto"/>
          <w:lang w:val="uk-UA" w:eastAsia="uk-UA" w:bidi="ar-SA"/>
        </w:rPr>
      </w:pPr>
    </w:p>
    <w:p w:rsidR="007301C6" w:rsidRPr="00A065B9" w:rsidRDefault="007301C6">
      <w:pPr>
        <w:rPr>
          <w:lang w:val="uk-UA"/>
        </w:rPr>
      </w:pPr>
    </w:p>
    <w:sectPr w:rsidR="007301C6" w:rsidRPr="00A0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B5"/>
    <w:rsid w:val="003A46B5"/>
    <w:rsid w:val="00580D1E"/>
    <w:rsid w:val="00713684"/>
    <w:rsid w:val="007301C6"/>
    <w:rsid w:val="00764956"/>
    <w:rsid w:val="007E6E6D"/>
    <w:rsid w:val="00851D01"/>
    <w:rsid w:val="009851BB"/>
    <w:rsid w:val="00A065B9"/>
    <w:rsid w:val="00B11C33"/>
    <w:rsid w:val="00C22048"/>
    <w:rsid w:val="00D308BE"/>
    <w:rsid w:val="00D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E681"/>
  <w15:chartTrackingRefBased/>
  <w15:docId w15:val="{D745F213-C72B-43B4-87FB-BF052D8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65B9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065B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22048"/>
    <w:pPr>
      <w:spacing w:after="0" w:line="240" w:lineRule="auto"/>
    </w:pPr>
    <w:rPr>
      <w:lang w:val="uk-UA"/>
    </w:rPr>
  </w:style>
  <w:style w:type="paragraph" w:customStyle="1" w:styleId="Default">
    <w:name w:val="Default"/>
    <w:rsid w:val="00C22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customStyle="1" w:styleId="75">
    <w:name w:val="Стиль75"/>
    <w:basedOn w:val="a1"/>
    <w:rsid w:val="00580D1E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styleId="a5">
    <w:name w:val="Table Grid"/>
    <w:basedOn w:val="a1"/>
    <w:uiPriority w:val="59"/>
    <w:rsid w:val="00580D1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vytiah.mvs.gov.ua/app/landing" TargetMode="External"/><Relationship Id="rId1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ytiah.mvs.gov.ua/app/landing" TargetMode="Externa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2939-17" TargetMode="External"/><Relationship Id="rId17" Type="http://schemas.openxmlformats.org/officeDocument/2006/relationships/hyperlink" Target="https://zakon.rada.gov.ua/laws/show/1178-2022-%D0%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yperlink" Target="https://corruptinfo.nazk.gov.ua/reference/getpersonalreference/individu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hyperlink" Target="https://zakon.rada.gov.ua/laws/show/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E4D47-FAB8-4232-81F0-9911244AB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0A01B-3242-4E30-BC91-174F60B2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14332</Words>
  <Characters>8170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natalia.boiko@tvory.net</cp:lastModifiedBy>
  <cp:revision>6</cp:revision>
  <dcterms:created xsi:type="dcterms:W3CDTF">2023-03-26T14:45:00Z</dcterms:created>
  <dcterms:modified xsi:type="dcterms:W3CDTF">2023-03-27T11:18:00Z</dcterms:modified>
</cp:coreProperties>
</file>