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49" w:rsidRDefault="00077E49">
      <w:pPr>
        <w:spacing w:after="0" w:line="240" w:lineRule="auto"/>
        <w:ind w:left="5660"/>
        <w:jc w:val="right"/>
        <w:rPr>
          <w:rFonts w:ascii="Times New Roman" w:eastAsia="Times New Roman" w:hAnsi="Times New Roman" w:cs="Times New Roman"/>
          <w:b/>
          <w:color w:val="000000"/>
          <w:sz w:val="24"/>
          <w:szCs w:val="24"/>
        </w:rPr>
      </w:pP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77E49" w:rsidRDefault="001F189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77E49" w:rsidRDefault="00077E49">
      <w:pPr>
        <w:spacing w:before="240" w:after="0" w:line="240" w:lineRule="auto"/>
        <w:jc w:val="center"/>
        <w:rPr>
          <w:rFonts w:ascii="Times New Roman" w:eastAsia="Times New Roman" w:hAnsi="Times New Roman" w:cs="Times New Roman"/>
          <w:b/>
          <w:i/>
          <w:color w:val="000000"/>
          <w:sz w:val="4"/>
          <w:szCs w:val="4"/>
        </w:rPr>
      </w:pPr>
    </w:p>
    <w:p w:rsidR="00077E49" w:rsidRPr="003D6948" w:rsidRDefault="001F189A">
      <w:pPr>
        <w:spacing w:after="0" w:line="240" w:lineRule="auto"/>
        <w:jc w:val="center"/>
        <w:rPr>
          <w:rFonts w:ascii="Times New Roman" w:eastAsia="Times New Roman" w:hAnsi="Times New Roman" w:cs="Times New Roman"/>
          <w:b/>
          <w:i/>
          <w:sz w:val="24"/>
          <w:szCs w:val="24"/>
        </w:rPr>
      </w:pPr>
      <w:r w:rsidRPr="003D6948">
        <w:rPr>
          <w:rFonts w:ascii="Times New Roman" w:eastAsia="Times New Roman" w:hAnsi="Times New Roman" w:cs="Times New Roman"/>
          <w:b/>
          <w:i/>
          <w:sz w:val="24"/>
          <w:szCs w:val="24"/>
          <w:highlight w:val="white"/>
        </w:rPr>
        <w:t>ТЕХНІЧНА СПЕЦИФІКАЦІЯ</w:t>
      </w:r>
    </w:p>
    <w:p w:rsidR="00F328DD" w:rsidRPr="00F328DD" w:rsidRDefault="00F328DD" w:rsidP="00F328DD">
      <w:pPr>
        <w:spacing w:after="0" w:line="240" w:lineRule="auto"/>
        <w:jc w:val="center"/>
        <w:rPr>
          <w:rFonts w:ascii="Times New Roman" w:hAnsi="Times New Roman" w:cs="Times New Roman"/>
          <w:b/>
          <w:bCs/>
          <w:i/>
          <w:sz w:val="24"/>
          <w:szCs w:val="24"/>
        </w:rPr>
      </w:pPr>
      <w:r w:rsidRPr="00F328DD">
        <w:rPr>
          <w:rFonts w:ascii="Times New Roman" w:hAnsi="Times New Roman" w:cs="Times New Roman"/>
          <w:b/>
          <w:bCs/>
          <w:i/>
          <w:iCs/>
          <w:sz w:val="24"/>
          <w:szCs w:val="24"/>
          <w:lang w:eastAsia="uk-UA"/>
        </w:rPr>
        <w:t xml:space="preserve">за кодом </w:t>
      </w:r>
      <w:proofErr w:type="spellStart"/>
      <w:r w:rsidRPr="00F328DD">
        <w:rPr>
          <w:rFonts w:ascii="Times New Roman" w:hAnsi="Times New Roman" w:cs="Times New Roman"/>
          <w:b/>
          <w:bCs/>
          <w:i/>
          <w:iCs/>
          <w:sz w:val="24"/>
          <w:szCs w:val="24"/>
          <w:lang w:eastAsia="uk-UA"/>
        </w:rPr>
        <w:t>ДК</w:t>
      </w:r>
      <w:proofErr w:type="spellEnd"/>
      <w:r w:rsidRPr="00F328DD">
        <w:rPr>
          <w:rFonts w:ascii="Times New Roman" w:hAnsi="Times New Roman" w:cs="Times New Roman"/>
          <w:b/>
          <w:bCs/>
          <w:i/>
          <w:iCs/>
          <w:sz w:val="24"/>
          <w:szCs w:val="24"/>
          <w:lang w:eastAsia="uk-UA"/>
        </w:rPr>
        <w:t xml:space="preserve"> 021:2015 – </w:t>
      </w:r>
      <w:r w:rsidRPr="00F328DD">
        <w:rPr>
          <w:rFonts w:ascii="Times New Roman" w:hAnsi="Times New Roman" w:cs="Times New Roman"/>
          <w:b/>
          <w:bCs/>
          <w:i/>
          <w:sz w:val="24"/>
          <w:szCs w:val="24"/>
        </w:rPr>
        <w:t>33690000-3 Лікарські засоби різні</w:t>
      </w:r>
    </w:p>
    <w:p w:rsidR="00F328DD" w:rsidRPr="00F328DD" w:rsidRDefault="00F328DD" w:rsidP="00F328DD">
      <w:pPr>
        <w:spacing w:after="0" w:line="240" w:lineRule="auto"/>
        <w:jc w:val="center"/>
        <w:rPr>
          <w:rFonts w:ascii="Times New Roman" w:eastAsia="Times New Roman" w:hAnsi="Times New Roman" w:cs="Times New Roman"/>
          <w:sz w:val="24"/>
          <w:szCs w:val="24"/>
        </w:rPr>
      </w:pPr>
      <w:r w:rsidRPr="00F328DD">
        <w:rPr>
          <w:rFonts w:ascii="Times New Roman" w:hAnsi="Times New Roman" w:cs="Times New Roman"/>
          <w:b/>
          <w:bCs/>
          <w:i/>
          <w:sz w:val="24"/>
          <w:szCs w:val="24"/>
        </w:rPr>
        <w:t xml:space="preserve">(Реактиви для біохімічної лабораторії) </w:t>
      </w:r>
    </w:p>
    <w:p w:rsidR="00D463D4" w:rsidRPr="00F328DD" w:rsidRDefault="00D463D4" w:rsidP="008D7B2B">
      <w:pPr>
        <w:spacing w:after="0" w:line="240" w:lineRule="auto"/>
        <w:jc w:val="center"/>
        <w:rPr>
          <w:rFonts w:ascii="Times New Roman" w:hAnsi="Times New Roman" w:cs="Times New Roman"/>
          <w:b/>
          <w:bCs/>
          <w:i/>
          <w:sz w:val="24"/>
          <w:szCs w:val="24"/>
        </w:rPr>
      </w:pPr>
    </w:p>
    <w:tbl>
      <w:tblPr>
        <w:tblW w:w="10774" w:type="dxa"/>
        <w:tblInd w:w="-743" w:type="dxa"/>
        <w:tblLayout w:type="fixed"/>
        <w:tblLook w:val="04A0"/>
      </w:tblPr>
      <w:tblGrid>
        <w:gridCol w:w="547"/>
        <w:gridCol w:w="1773"/>
        <w:gridCol w:w="1225"/>
        <w:gridCol w:w="856"/>
        <w:gridCol w:w="992"/>
        <w:gridCol w:w="1464"/>
        <w:gridCol w:w="3917"/>
      </w:tblGrid>
      <w:tr w:rsidR="003379A1" w:rsidRPr="00354E50" w:rsidTr="00E82297">
        <w:trPr>
          <w:trHeight w:val="178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E82297" w:rsidRDefault="003379A1" w:rsidP="00E82297">
            <w:pPr>
              <w:spacing w:after="0" w:line="240" w:lineRule="auto"/>
              <w:jc w:val="center"/>
              <w:rPr>
                <w:rFonts w:ascii="Times New Roman" w:eastAsia="Times New Roman" w:hAnsi="Times New Roman" w:cs="Times New Roman"/>
                <w:b/>
                <w:bCs/>
                <w:sz w:val="20"/>
                <w:szCs w:val="20"/>
              </w:rPr>
            </w:pPr>
            <w:r w:rsidRPr="00E82297">
              <w:rPr>
                <w:rFonts w:ascii="Times New Roman" w:eastAsia="Times New Roman" w:hAnsi="Times New Roman" w:cs="Times New Roman"/>
                <w:b/>
                <w:bCs/>
                <w:sz w:val="20"/>
                <w:szCs w:val="20"/>
              </w:rPr>
              <w:t>№</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379A1" w:rsidRPr="00E82297" w:rsidRDefault="003379A1" w:rsidP="00E82297">
            <w:pPr>
              <w:spacing w:after="0" w:line="240" w:lineRule="auto"/>
              <w:jc w:val="center"/>
              <w:rPr>
                <w:rFonts w:ascii="Times New Roman" w:eastAsia="Times New Roman" w:hAnsi="Times New Roman" w:cs="Times New Roman"/>
                <w:b/>
                <w:bCs/>
                <w:sz w:val="20"/>
                <w:szCs w:val="20"/>
              </w:rPr>
            </w:pPr>
            <w:r w:rsidRPr="00E82297">
              <w:rPr>
                <w:rFonts w:ascii="Times New Roman" w:eastAsia="Times New Roman" w:hAnsi="Times New Roman" w:cs="Times New Roman"/>
                <w:b/>
                <w:bCs/>
                <w:sz w:val="20"/>
                <w:szCs w:val="20"/>
              </w:rPr>
              <w:t>Назва виробу медичного призначення</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3379A1" w:rsidRPr="00E82297" w:rsidRDefault="003379A1" w:rsidP="00E82297">
            <w:pPr>
              <w:spacing w:after="0" w:line="240" w:lineRule="auto"/>
              <w:jc w:val="center"/>
              <w:rPr>
                <w:rFonts w:ascii="Times New Roman" w:eastAsia="Times New Roman" w:hAnsi="Times New Roman" w:cs="Times New Roman"/>
                <w:b/>
                <w:bCs/>
                <w:sz w:val="20"/>
                <w:szCs w:val="20"/>
              </w:rPr>
            </w:pPr>
            <w:r w:rsidRPr="00E82297">
              <w:rPr>
                <w:rFonts w:ascii="Times New Roman" w:eastAsia="Times New Roman" w:hAnsi="Times New Roman" w:cs="Times New Roman"/>
                <w:b/>
                <w:bCs/>
                <w:sz w:val="20"/>
                <w:szCs w:val="20"/>
              </w:rPr>
              <w:t>Од. виміру</w:t>
            </w:r>
          </w:p>
        </w:tc>
        <w:tc>
          <w:tcPr>
            <w:tcW w:w="856" w:type="dxa"/>
            <w:tcBorders>
              <w:top w:val="single" w:sz="4" w:space="0" w:color="auto"/>
              <w:left w:val="nil"/>
              <w:bottom w:val="single" w:sz="4" w:space="0" w:color="auto"/>
              <w:right w:val="single" w:sz="4" w:space="0" w:color="auto"/>
            </w:tcBorders>
            <w:vAlign w:val="center"/>
          </w:tcPr>
          <w:p w:rsidR="003379A1" w:rsidRPr="00E82297" w:rsidRDefault="003379A1" w:rsidP="00E82297">
            <w:pPr>
              <w:spacing w:after="0" w:line="240" w:lineRule="auto"/>
              <w:jc w:val="center"/>
              <w:rPr>
                <w:rFonts w:ascii="Times New Roman" w:eastAsia="Times New Roman" w:hAnsi="Times New Roman" w:cs="Times New Roman"/>
                <w:b/>
                <w:bCs/>
                <w:sz w:val="20"/>
                <w:szCs w:val="20"/>
                <w:lang w:val="en-US"/>
              </w:rPr>
            </w:pPr>
          </w:p>
          <w:p w:rsidR="003379A1" w:rsidRPr="00E82297" w:rsidRDefault="003379A1" w:rsidP="00E82297">
            <w:pPr>
              <w:spacing w:after="0" w:line="240" w:lineRule="auto"/>
              <w:jc w:val="center"/>
              <w:rPr>
                <w:rFonts w:ascii="Times New Roman" w:eastAsia="Times New Roman" w:hAnsi="Times New Roman" w:cs="Times New Roman"/>
                <w:b/>
                <w:bCs/>
                <w:sz w:val="20"/>
                <w:szCs w:val="20"/>
                <w:lang w:val="en-US"/>
              </w:rPr>
            </w:pPr>
          </w:p>
          <w:p w:rsidR="003379A1" w:rsidRPr="00E82297" w:rsidRDefault="003379A1" w:rsidP="00E82297">
            <w:pPr>
              <w:spacing w:after="0" w:line="240" w:lineRule="auto"/>
              <w:jc w:val="center"/>
              <w:rPr>
                <w:rFonts w:ascii="Times New Roman" w:eastAsia="Times New Roman" w:hAnsi="Times New Roman" w:cs="Times New Roman"/>
                <w:b/>
                <w:bCs/>
                <w:sz w:val="20"/>
                <w:szCs w:val="20"/>
                <w:lang w:val="en-US"/>
              </w:rPr>
            </w:pPr>
          </w:p>
          <w:p w:rsidR="003379A1" w:rsidRPr="00E82297" w:rsidRDefault="003379A1" w:rsidP="00E82297">
            <w:pPr>
              <w:spacing w:after="0" w:line="240" w:lineRule="auto"/>
              <w:jc w:val="center"/>
              <w:rPr>
                <w:rFonts w:ascii="Times New Roman" w:eastAsia="Times New Roman" w:hAnsi="Times New Roman" w:cs="Times New Roman"/>
                <w:b/>
                <w:bCs/>
                <w:sz w:val="20"/>
                <w:szCs w:val="20"/>
                <w:lang w:val="en-US"/>
              </w:rPr>
            </w:pPr>
            <w:r w:rsidRPr="00E82297">
              <w:rPr>
                <w:rFonts w:ascii="Times New Roman" w:eastAsia="Times New Roman" w:hAnsi="Times New Roman" w:cs="Times New Roman"/>
                <w:b/>
                <w:bCs/>
                <w:sz w:val="20"/>
                <w:szCs w:val="20"/>
              </w:rPr>
              <w:t>Кіль</w:t>
            </w:r>
            <w:r w:rsidRPr="00E82297">
              <w:rPr>
                <w:rFonts w:ascii="Times New Roman" w:eastAsia="Times New Roman" w:hAnsi="Times New Roman" w:cs="Times New Roman"/>
                <w:b/>
                <w:bCs/>
                <w:sz w:val="20"/>
                <w:szCs w:val="20"/>
                <w:lang w:val="en-US"/>
              </w:rPr>
              <w:t>-</w:t>
            </w:r>
          </w:p>
          <w:p w:rsidR="003379A1" w:rsidRPr="00E82297" w:rsidRDefault="003379A1" w:rsidP="00E82297">
            <w:pPr>
              <w:spacing w:after="0" w:line="240" w:lineRule="auto"/>
              <w:jc w:val="center"/>
              <w:rPr>
                <w:rFonts w:ascii="Times New Roman" w:eastAsia="Times New Roman" w:hAnsi="Times New Roman" w:cs="Times New Roman"/>
                <w:b/>
                <w:bCs/>
                <w:sz w:val="20"/>
                <w:szCs w:val="20"/>
              </w:rPr>
            </w:pPr>
            <w:r w:rsidRPr="00E82297">
              <w:rPr>
                <w:rFonts w:ascii="Times New Roman" w:eastAsia="Times New Roman" w:hAnsi="Times New Roman" w:cs="Times New Roman"/>
                <w:b/>
                <w:bCs/>
                <w:sz w:val="20"/>
                <w:szCs w:val="20"/>
              </w:rPr>
              <w:t>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9A1" w:rsidRPr="00E82297" w:rsidRDefault="003379A1" w:rsidP="00E82297">
            <w:pPr>
              <w:spacing w:after="0" w:line="240" w:lineRule="auto"/>
              <w:jc w:val="center"/>
              <w:rPr>
                <w:rFonts w:ascii="Times New Roman" w:eastAsia="Times New Roman" w:hAnsi="Times New Roman" w:cs="Times New Roman"/>
                <w:b/>
                <w:bCs/>
                <w:sz w:val="20"/>
                <w:szCs w:val="20"/>
              </w:rPr>
            </w:pPr>
            <w:r w:rsidRPr="00E82297">
              <w:rPr>
                <w:rFonts w:ascii="Times New Roman" w:eastAsia="Times New Roman" w:hAnsi="Times New Roman" w:cs="Times New Roman"/>
                <w:b/>
                <w:bCs/>
                <w:sz w:val="20"/>
                <w:szCs w:val="20"/>
              </w:rPr>
              <w:t xml:space="preserve">Коди </w:t>
            </w:r>
            <w:proofErr w:type="spellStart"/>
            <w:r w:rsidRPr="00E82297">
              <w:rPr>
                <w:rFonts w:ascii="Times New Roman" w:eastAsia="Times New Roman" w:hAnsi="Times New Roman" w:cs="Times New Roman"/>
                <w:b/>
                <w:bCs/>
                <w:sz w:val="20"/>
                <w:szCs w:val="20"/>
              </w:rPr>
              <w:t>класифікатора</w:t>
            </w:r>
            <w:r w:rsidR="003715FC" w:rsidRPr="00E82297">
              <w:rPr>
                <w:rFonts w:ascii="Times New Roman" w:eastAsia="Times New Roman" w:hAnsi="Times New Roman" w:cs="Times New Roman"/>
                <w:b/>
                <w:bCs/>
                <w:sz w:val="20"/>
                <w:szCs w:val="20"/>
              </w:rPr>
              <w:t>НК</w:t>
            </w:r>
            <w:proofErr w:type="spellEnd"/>
            <w:r w:rsidR="003715FC" w:rsidRPr="00E82297">
              <w:rPr>
                <w:rFonts w:ascii="Times New Roman" w:eastAsia="Times New Roman" w:hAnsi="Times New Roman" w:cs="Times New Roman"/>
                <w:b/>
                <w:bCs/>
                <w:sz w:val="20"/>
                <w:szCs w:val="20"/>
              </w:rPr>
              <w:t xml:space="preserve"> 024:20</w:t>
            </w:r>
            <w:r w:rsidR="00D361FA" w:rsidRPr="00E82297">
              <w:rPr>
                <w:rFonts w:ascii="Times New Roman" w:eastAsia="Times New Roman" w:hAnsi="Times New Roman" w:cs="Times New Roman"/>
                <w:b/>
                <w:bCs/>
                <w:sz w:val="20"/>
                <w:szCs w:val="20"/>
              </w:rPr>
              <w:t>23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3715FC" w:rsidRPr="00E82297" w:rsidRDefault="003379A1" w:rsidP="00E82297">
            <w:pPr>
              <w:spacing w:after="0" w:line="240" w:lineRule="auto"/>
              <w:jc w:val="center"/>
              <w:rPr>
                <w:rFonts w:ascii="Times New Roman" w:hAnsi="Times New Roman" w:cs="Times New Roman"/>
                <w:sz w:val="20"/>
                <w:szCs w:val="20"/>
                <w:lang w:val="en-US"/>
              </w:rPr>
            </w:pPr>
            <w:r w:rsidRPr="00E82297">
              <w:rPr>
                <w:rFonts w:ascii="Times New Roman" w:eastAsia="Times New Roman" w:hAnsi="Times New Roman" w:cs="Times New Roman"/>
                <w:b/>
                <w:bCs/>
                <w:sz w:val="20"/>
                <w:szCs w:val="20"/>
              </w:rPr>
              <w:t>Назва кодів класифікатора</w:t>
            </w:r>
          </w:p>
          <w:p w:rsidR="003379A1" w:rsidRPr="00E82297" w:rsidRDefault="003715FC" w:rsidP="00E82297">
            <w:pPr>
              <w:spacing w:after="0" w:line="240" w:lineRule="auto"/>
              <w:jc w:val="center"/>
              <w:rPr>
                <w:rFonts w:ascii="Times New Roman" w:eastAsia="Times New Roman" w:hAnsi="Times New Roman" w:cs="Times New Roman"/>
                <w:b/>
                <w:bCs/>
                <w:sz w:val="20"/>
                <w:szCs w:val="20"/>
              </w:rPr>
            </w:pPr>
            <w:r w:rsidRPr="00E82297">
              <w:rPr>
                <w:rFonts w:ascii="Times New Roman" w:eastAsia="Times New Roman" w:hAnsi="Times New Roman" w:cs="Times New Roman"/>
                <w:b/>
                <w:bCs/>
                <w:sz w:val="20"/>
                <w:szCs w:val="20"/>
              </w:rPr>
              <w:t>НК 024:20</w:t>
            </w:r>
            <w:r w:rsidR="00D361FA" w:rsidRPr="00E82297">
              <w:rPr>
                <w:rFonts w:ascii="Times New Roman" w:eastAsia="Times New Roman" w:hAnsi="Times New Roman" w:cs="Times New Roman"/>
                <w:b/>
                <w:bCs/>
                <w:sz w:val="20"/>
                <w:szCs w:val="20"/>
              </w:rPr>
              <w:t>23</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3379A1" w:rsidRPr="00E82297" w:rsidRDefault="003379A1" w:rsidP="00E82297">
            <w:pPr>
              <w:spacing w:after="0" w:line="240" w:lineRule="auto"/>
              <w:jc w:val="center"/>
              <w:rPr>
                <w:rFonts w:ascii="Times New Roman" w:eastAsia="Times New Roman" w:hAnsi="Times New Roman" w:cs="Times New Roman"/>
                <w:b/>
                <w:bCs/>
                <w:sz w:val="20"/>
                <w:szCs w:val="20"/>
              </w:rPr>
            </w:pPr>
            <w:r w:rsidRPr="00E82297">
              <w:rPr>
                <w:rFonts w:ascii="Times New Roman" w:eastAsia="Times New Roman" w:hAnsi="Times New Roman" w:cs="Times New Roman"/>
                <w:b/>
                <w:bCs/>
                <w:sz w:val="20"/>
                <w:szCs w:val="20"/>
              </w:rPr>
              <w:t>Технічні вимоги</w:t>
            </w:r>
          </w:p>
        </w:tc>
      </w:tr>
      <w:tr w:rsidR="00E82297" w:rsidRPr="00354E50" w:rsidTr="00E82297">
        <w:trPr>
          <w:trHeight w:val="704"/>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w:t>
            </w:r>
          </w:p>
        </w:tc>
        <w:tc>
          <w:tcPr>
            <w:tcW w:w="1773"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eastAsia="Times New Roman" w:hAnsi="Times New Roman" w:cs="Times New Roman"/>
                <w:sz w:val="20"/>
                <w:szCs w:val="20"/>
              </w:rPr>
            </w:pPr>
            <w:proofErr w:type="spellStart"/>
            <w:r w:rsidRPr="00E82297">
              <w:rPr>
                <w:rFonts w:ascii="Times New Roman" w:hAnsi="Times New Roman" w:cs="Times New Roman"/>
                <w:sz w:val="20"/>
                <w:szCs w:val="20"/>
              </w:rPr>
              <w:t>Тиреотропний</w:t>
            </w:r>
            <w:proofErr w:type="spellEnd"/>
            <w:r w:rsidRPr="00E82297">
              <w:rPr>
                <w:rFonts w:ascii="Times New Roman" w:hAnsi="Times New Roman" w:cs="Times New Roman"/>
                <w:sz w:val="20"/>
                <w:szCs w:val="20"/>
              </w:rPr>
              <w:t xml:space="preserve"> гормон ІІ генерація</w:t>
            </w:r>
          </w:p>
        </w:tc>
        <w:tc>
          <w:tcPr>
            <w:tcW w:w="1225"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eastAsia="Times New Roman" w:hAnsi="Times New Roman" w:cs="Times New Roman"/>
                <w:sz w:val="20"/>
                <w:szCs w:val="20"/>
              </w:rPr>
            </w:pPr>
            <w:r w:rsidRPr="00E82297">
              <w:rPr>
                <w:rFonts w:ascii="Times New Roman" w:hAnsi="Times New Roman" w:cs="Times New Roman"/>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eastAsia="Times New Roman" w:hAnsi="Times New Roman" w:cs="Times New Roman"/>
                <w:sz w:val="20"/>
                <w:szCs w:val="20"/>
              </w:rPr>
            </w:pPr>
            <w:r w:rsidRPr="00E82297">
              <w:rPr>
                <w:rFonts w:ascii="Times New Roman" w:hAnsi="Times New Roman" w:cs="Times New Roman"/>
                <w:sz w:val="20"/>
                <w:szCs w:val="20"/>
              </w:rPr>
              <w:t>54386</w:t>
            </w:r>
          </w:p>
        </w:tc>
        <w:tc>
          <w:tcPr>
            <w:tcW w:w="1464"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Тиреоїдний</w:t>
            </w:r>
            <w:proofErr w:type="spellEnd"/>
            <w:r w:rsidRPr="00E82297">
              <w:rPr>
                <w:rFonts w:ascii="Times New Roman" w:hAnsi="Times New Roman" w:cs="Times New Roman"/>
                <w:sz w:val="20"/>
                <w:szCs w:val="20"/>
              </w:rPr>
              <w:t xml:space="preserve"> гормон (ТТГ)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 </w:t>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призначений для кількісного визначення ТТГ в сироватці 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58"/>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w:t>
            </w:r>
          </w:p>
        </w:tc>
        <w:tc>
          <w:tcPr>
            <w:tcW w:w="1773"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Тироксин вільний ІІ генерація</w:t>
            </w:r>
          </w:p>
        </w:tc>
        <w:tc>
          <w:tcPr>
            <w:tcW w:w="1225"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54413</w:t>
            </w:r>
          </w:p>
        </w:tc>
        <w:tc>
          <w:tcPr>
            <w:tcW w:w="1464"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Вільний тироксин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w:t>
            </w:r>
            <w:r w:rsidRPr="00E82297">
              <w:rPr>
                <w:rFonts w:ascii="Times New Roman" w:hAnsi="Times New Roman" w:cs="Times New Roman"/>
                <w:sz w:val="20"/>
                <w:szCs w:val="20"/>
              </w:rPr>
              <w:br/>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призначений для кількісного визначення вільного тироксину в сироватці 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66"/>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3</w:t>
            </w:r>
          </w:p>
        </w:tc>
        <w:tc>
          <w:tcPr>
            <w:tcW w:w="1773"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Трийодтиронін</w:t>
            </w:r>
            <w:proofErr w:type="spellEnd"/>
            <w:r w:rsidRPr="00E82297">
              <w:rPr>
                <w:rFonts w:ascii="Times New Roman" w:hAnsi="Times New Roman" w:cs="Times New Roman"/>
                <w:sz w:val="20"/>
                <w:szCs w:val="20"/>
              </w:rPr>
              <w:t xml:space="preserve"> вільний ІІ генерація</w:t>
            </w:r>
          </w:p>
        </w:tc>
        <w:tc>
          <w:tcPr>
            <w:tcW w:w="1225"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54417</w:t>
            </w:r>
          </w:p>
        </w:tc>
        <w:tc>
          <w:tcPr>
            <w:tcW w:w="1464"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Вільний </w:t>
            </w:r>
            <w:proofErr w:type="spellStart"/>
            <w:r w:rsidRPr="00E82297">
              <w:rPr>
                <w:rFonts w:ascii="Times New Roman" w:hAnsi="Times New Roman" w:cs="Times New Roman"/>
                <w:sz w:val="20"/>
                <w:szCs w:val="20"/>
              </w:rPr>
              <w:t>трийодтиронін</w:t>
            </w:r>
            <w:proofErr w:type="spellEnd"/>
            <w:r w:rsidRPr="00E82297">
              <w:rPr>
                <w:rFonts w:ascii="Times New Roman" w:hAnsi="Times New Roman" w:cs="Times New Roman"/>
                <w:sz w:val="20"/>
                <w:szCs w:val="20"/>
              </w:rPr>
              <w:t xml:space="preserve">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w:t>
            </w:r>
            <w:r w:rsidRPr="00E82297">
              <w:rPr>
                <w:rFonts w:ascii="Times New Roman" w:hAnsi="Times New Roman" w:cs="Times New Roman"/>
                <w:sz w:val="20"/>
                <w:szCs w:val="20"/>
              </w:rPr>
              <w:br/>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призначений для кількісного визначення вільного </w:t>
            </w:r>
            <w:proofErr w:type="spellStart"/>
            <w:r w:rsidRPr="00E82297">
              <w:rPr>
                <w:rFonts w:ascii="Times New Roman" w:hAnsi="Times New Roman" w:cs="Times New Roman"/>
                <w:sz w:val="20"/>
                <w:szCs w:val="20"/>
              </w:rPr>
              <w:t>трийодтироніну</w:t>
            </w:r>
            <w:proofErr w:type="spellEnd"/>
            <w:r w:rsidRPr="00E82297">
              <w:rPr>
                <w:rFonts w:ascii="Times New Roman" w:hAnsi="Times New Roman" w:cs="Times New Roman"/>
                <w:sz w:val="20"/>
                <w:szCs w:val="20"/>
              </w:rPr>
              <w:t xml:space="preserve"> в сироватці 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6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4</w:t>
            </w:r>
          </w:p>
        </w:tc>
        <w:tc>
          <w:tcPr>
            <w:tcW w:w="1773"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Антитіла до </w:t>
            </w:r>
            <w:proofErr w:type="spellStart"/>
            <w:r w:rsidRPr="00E82297">
              <w:rPr>
                <w:rFonts w:ascii="Times New Roman" w:hAnsi="Times New Roman" w:cs="Times New Roman"/>
                <w:sz w:val="20"/>
                <w:szCs w:val="20"/>
              </w:rPr>
              <w:t>тиреопероксидази</w:t>
            </w:r>
            <w:proofErr w:type="spellEnd"/>
            <w:r w:rsidRPr="00E82297">
              <w:rPr>
                <w:rFonts w:ascii="Times New Roman" w:hAnsi="Times New Roman" w:cs="Times New Roman"/>
                <w:sz w:val="20"/>
                <w:szCs w:val="20"/>
              </w:rPr>
              <w:t xml:space="preserve"> (ТПО) ІІ генерація</w:t>
            </w:r>
          </w:p>
        </w:tc>
        <w:tc>
          <w:tcPr>
            <w:tcW w:w="1225"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58729</w:t>
            </w:r>
          </w:p>
        </w:tc>
        <w:tc>
          <w:tcPr>
            <w:tcW w:w="1464"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Тиреопероксидаза</w:t>
            </w:r>
            <w:proofErr w:type="spellEnd"/>
            <w:r w:rsidRPr="00E82297">
              <w:rPr>
                <w:rFonts w:ascii="Times New Roman" w:hAnsi="Times New Roman" w:cs="Times New Roman"/>
                <w:sz w:val="20"/>
                <w:szCs w:val="20"/>
              </w:rPr>
              <w:t>, антитіла (</w:t>
            </w:r>
            <w:proofErr w:type="spellStart"/>
            <w:r w:rsidRPr="00E82297">
              <w:rPr>
                <w:rFonts w:ascii="Times New Roman" w:hAnsi="Times New Roman" w:cs="Times New Roman"/>
                <w:sz w:val="20"/>
                <w:szCs w:val="20"/>
              </w:rPr>
              <w:t>анти-ТПО</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мікросомальні</w:t>
            </w:r>
            <w:proofErr w:type="spellEnd"/>
            <w:r w:rsidRPr="00E82297">
              <w:rPr>
                <w:rFonts w:ascii="Times New Roman" w:hAnsi="Times New Roman" w:cs="Times New Roman"/>
                <w:sz w:val="20"/>
                <w:szCs w:val="20"/>
              </w:rPr>
              <w:t xml:space="preserve"> антитіла)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 </w:t>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призначений для кількісного визначення антитіл до </w:t>
            </w:r>
            <w:proofErr w:type="spellStart"/>
            <w:r w:rsidRPr="00E82297">
              <w:rPr>
                <w:rFonts w:ascii="Times New Roman" w:hAnsi="Times New Roman" w:cs="Times New Roman"/>
                <w:sz w:val="20"/>
                <w:szCs w:val="20"/>
              </w:rPr>
              <w:t>тиреопероксидази</w:t>
            </w:r>
            <w:proofErr w:type="spellEnd"/>
            <w:r w:rsidRPr="00E82297">
              <w:rPr>
                <w:rFonts w:ascii="Times New Roman" w:hAnsi="Times New Roman" w:cs="Times New Roman"/>
                <w:sz w:val="20"/>
                <w:szCs w:val="20"/>
              </w:rPr>
              <w:t xml:space="preserve"> в сироватці 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5</w:t>
            </w:r>
          </w:p>
        </w:tc>
        <w:tc>
          <w:tcPr>
            <w:tcW w:w="1773"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Простат-специфічний антиген </w:t>
            </w:r>
            <w:r w:rsidRPr="00E82297">
              <w:rPr>
                <w:rFonts w:ascii="Times New Roman" w:hAnsi="Times New Roman" w:cs="Times New Roman"/>
                <w:sz w:val="20"/>
                <w:szCs w:val="20"/>
              </w:rPr>
              <w:lastRenderedPageBreak/>
              <w:t>загальний</w:t>
            </w:r>
          </w:p>
        </w:tc>
        <w:tc>
          <w:tcPr>
            <w:tcW w:w="1225"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lastRenderedPageBreak/>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15</w:t>
            </w:r>
          </w:p>
        </w:tc>
        <w:tc>
          <w:tcPr>
            <w:tcW w:w="992"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54665</w:t>
            </w:r>
          </w:p>
        </w:tc>
        <w:tc>
          <w:tcPr>
            <w:tcW w:w="1464"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Загальний простатичний специфічний </w:t>
            </w:r>
            <w:r w:rsidRPr="00E82297">
              <w:rPr>
                <w:rFonts w:ascii="Times New Roman" w:hAnsi="Times New Roman" w:cs="Times New Roman"/>
                <w:sz w:val="20"/>
                <w:szCs w:val="20"/>
              </w:rPr>
              <w:lastRenderedPageBreak/>
              <w:t xml:space="preserve">антиген (ПСА)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 </w:t>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hideMark/>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lastRenderedPageBreak/>
              <w:t xml:space="preserve">Набір призначений для кількісного визначення загального </w:t>
            </w:r>
            <w:proofErr w:type="spellStart"/>
            <w:r w:rsidRPr="00E82297">
              <w:rPr>
                <w:rFonts w:ascii="Times New Roman" w:hAnsi="Times New Roman" w:cs="Times New Roman"/>
                <w:sz w:val="20"/>
                <w:szCs w:val="20"/>
              </w:rPr>
              <w:t>простатспецифічного</w:t>
            </w:r>
            <w:proofErr w:type="spellEnd"/>
            <w:r w:rsidRPr="00E82297">
              <w:rPr>
                <w:rFonts w:ascii="Times New Roman" w:hAnsi="Times New Roman" w:cs="Times New Roman"/>
                <w:sz w:val="20"/>
                <w:szCs w:val="20"/>
              </w:rPr>
              <w:t xml:space="preserve"> антигену в сироватці </w:t>
            </w:r>
            <w:r w:rsidRPr="00E82297">
              <w:rPr>
                <w:rFonts w:ascii="Times New Roman" w:hAnsi="Times New Roman" w:cs="Times New Roman"/>
                <w:sz w:val="20"/>
                <w:szCs w:val="20"/>
              </w:rPr>
              <w:lastRenderedPageBreak/>
              <w:t xml:space="preserve">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lastRenderedPageBreak/>
              <w:t>6</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Інсулін</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54237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Інсулін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 </w:t>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призначений для кількісного визначення </w:t>
            </w:r>
            <w:proofErr w:type="spellStart"/>
            <w:r w:rsidRPr="00E82297">
              <w:rPr>
                <w:rFonts w:ascii="Times New Roman" w:hAnsi="Times New Roman" w:cs="Times New Roman"/>
                <w:sz w:val="20"/>
                <w:szCs w:val="20"/>
              </w:rPr>
              <w:t>iнсуліну</w:t>
            </w:r>
            <w:proofErr w:type="spellEnd"/>
            <w:r w:rsidRPr="00E82297">
              <w:rPr>
                <w:rFonts w:ascii="Times New Roman" w:hAnsi="Times New Roman" w:cs="Times New Roman"/>
                <w:sz w:val="20"/>
                <w:szCs w:val="20"/>
              </w:rPr>
              <w:t xml:space="preserve"> в сироватці 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7</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Фолієва</w:t>
            </w:r>
            <w:proofErr w:type="spellEnd"/>
            <w:r w:rsidRPr="00E82297">
              <w:rPr>
                <w:rFonts w:ascii="Times New Roman" w:hAnsi="Times New Roman" w:cs="Times New Roman"/>
                <w:sz w:val="20"/>
                <w:szCs w:val="20"/>
              </w:rPr>
              <w:t xml:space="preserve"> кислота ІІ генерація</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60982</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Фолат</w:t>
            </w:r>
            <w:proofErr w:type="spellEnd"/>
            <w:r w:rsidRPr="00E82297">
              <w:rPr>
                <w:rFonts w:ascii="Times New Roman" w:hAnsi="Times New Roman" w:cs="Times New Roman"/>
                <w:sz w:val="20"/>
                <w:szCs w:val="20"/>
              </w:rPr>
              <w:t xml:space="preserve"> (вітамін В9)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 </w:t>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призначений для кількісного визначення </w:t>
            </w:r>
            <w:proofErr w:type="spellStart"/>
            <w:r w:rsidRPr="00E82297">
              <w:rPr>
                <w:rFonts w:ascii="Times New Roman" w:hAnsi="Times New Roman" w:cs="Times New Roman"/>
                <w:sz w:val="20"/>
                <w:szCs w:val="20"/>
              </w:rPr>
              <w:t>фолієвой</w:t>
            </w:r>
            <w:proofErr w:type="spellEnd"/>
            <w:r w:rsidRPr="00E82297">
              <w:rPr>
                <w:rFonts w:ascii="Times New Roman" w:hAnsi="Times New Roman" w:cs="Times New Roman"/>
                <w:sz w:val="20"/>
                <w:szCs w:val="20"/>
              </w:rPr>
              <w:t xml:space="preserve"> кислоти в сироватці 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8</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Вітамін B12 ІІ генерація</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52909</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Вітамін B12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 </w:t>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призначений для кількісного визначення </w:t>
            </w:r>
            <w:proofErr w:type="spellStart"/>
            <w:r w:rsidRPr="00E82297">
              <w:rPr>
                <w:rFonts w:ascii="Times New Roman" w:hAnsi="Times New Roman" w:cs="Times New Roman"/>
                <w:sz w:val="20"/>
                <w:szCs w:val="20"/>
              </w:rPr>
              <w:t>вітаміна</w:t>
            </w:r>
            <w:proofErr w:type="spellEnd"/>
            <w:r w:rsidRPr="00E82297">
              <w:rPr>
                <w:rFonts w:ascii="Times New Roman" w:hAnsi="Times New Roman" w:cs="Times New Roman"/>
                <w:sz w:val="20"/>
                <w:szCs w:val="20"/>
              </w:rPr>
              <w:t xml:space="preserve"> В12 в сироватці крові людини методом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9</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Сифіліс ІІ генерація</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59861</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Treponema</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pallidum</w:t>
            </w:r>
            <w:proofErr w:type="spellEnd"/>
            <w:r w:rsidRPr="00E82297">
              <w:rPr>
                <w:rFonts w:ascii="Times New Roman" w:hAnsi="Times New Roman" w:cs="Times New Roman"/>
                <w:sz w:val="20"/>
                <w:szCs w:val="20"/>
              </w:rPr>
              <w:t>, антитіла класу імуноглобулін G (</w:t>
            </w:r>
            <w:proofErr w:type="spellStart"/>
            <w:r w:rsidRPr="00E82297">
              <w:rPr>
                <w:rFonts w:ascii="Times New Roman" w:hAnsi="Times New Roman" w:cs="Times New Roman"/>
                <w:sz w:val="20"/>
                <w:szCs w:val="20"/>
              </w:rPr>
              <w:t>IgG</w:t>
            </w:r>
            <w:proofErr w:type="spellEnd"/>
            <w:r w:rsidRPr="00E82297">
              <w:rPr>
                <w:rFonts w:ascii="Times New Roman" w:hAnsi="Times New Roman" w:cs="Times New Roman"/>
                <w:sz w:val="20"/>
                <w:szCs w:val="20"/>
              </w:rPr>
              <w:t>)/</w:t>
            </w:r>
            <w:proofErr w:type="spellStart"/>
            <w:r w:rsidRPr="00E82297">
              <w:rPr>
                <w:rFonts w:ascii="Times New Roman" w:hAnsi="Times New Roman" w:cs="Times New Roman"/>
                <w:sz w:val="20"/>
                <w:szCs w:val="20"/>
              </w:rPr>
              <w:t>IgM</w:t>
            </w:r>
            <w:proofErr w:type="spellEnd"/>
            <w:r w:rsidRPr="00E82297">
              <w:rPr>
                <w:rFonts w:ascii="Times New Roman" w:hAnsi="Times New Roman" w:cs="Times New Roman"/>
                <w:sz w:val="20"/>
                <w:szCs w:val="20"/>
              </w:rPr>
              <w:t xml:space="preserve">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 </w:t>
            </w:r>
            <w:proofErr w:type="spellStart"/>
            <w:r w:rsidRPr="00E82297">
              <w:rPr>
                <w:rFonts w:ascii="Times New Roman" w:hAnsi="Times New Roman" w:cs="Times New Roman"/>
                <w:sz w:val="20"/>
                <w:szCs w:val="20"/>
              </w:rPr>
              <w:t>імунохемілюмінесцентний</w:t>
            </w:r>
            <w:proofErr w:type="spellEnd"/>
            <w:r w:rsidRPr="00E82297">
              <w:rPr>
                <w:rFonts w:ascii="Times New Roman" w:hAnsi="Times New Roman" w:cs="Times New Roman"/>
                <w:sz w:val="20"/>
                <w:szCs w:val="20"/>
              </w:rPr>
              <w:t xml:space="preserve"> аналіз</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реагентів для визначення загальної кількості антитіл проти Сифілісу  з використанням повністю автоматизованого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аналізатора серії MAGLUMI. Набір на 100 визначень.</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10</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Реакційні модулі</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61032</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Кювета для лабораторного аналізатора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одноразового використання</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6×64 модулів для автоматичного хемілюмінесцентного </w:t>
            </w:r>
            <w:proofErr w:type="spellStart"/>
            <w:r w:rsidRPr="00E82297">
              <w:rPr>
                <w:rFonts w:ascii="Times New Roman" w:hAnsi="Times New Roman" w:cs="Times New Roman"/>
                <w:sz w:val="20"/>
                <w:szCs w:val="20"/>
              </w:rPr>
              <w:t>імуноаналізатора</w:t>
            </w:r>
            <w:proofErr w:type="spellEnd"/>
            <w:r w:rsidRPr="00E82297">
              <w:rPr>
                <w:rFonts w:ascii="Times New Roman" w:hAnsi="Times New Roman" w:cs="Times New Roman"/>
                <w:sz w:val="20"/>
                <w:szCs w:val="20"/>
              </w:rPr>
              <w:t xml:space="preserve"> серії MAGLUMI</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11</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Контроль </w:t>
            </w:r>
            <w:proofErr w:type="spellStart"/>
            <w:r w:rsidRPr="00E82297">
              <w:rPr>
                <w:rFonts w:ascii="Times New Roman" w:hAnsi="Times New Roman" w:cs="Times New Roman"/>
                <w:sz w:val="20"/>
                <w:szCs w:val="20"/>
              </w:rPr>
              <w:t>Light</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Check</w:t>
            </w:r>
            <w:proofErr w:type="spellEnd"/>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58793</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Реагент для генерації сигналу під час </w:t>
            </w:r>
            <w:proofErr w:type="spellStart"/>
            <w:r w:rsidRPr="00E82297">
              <w:rPr>
                <w:rFonts w:ascii="Times New Roman" w:hAnsi="Times New Roman" w:cs="Times New Roman"/>
                <w:sz w:val="20"/>
                <w:szCs w:val="20"/>
              </w:rPr>
              <w:t>Імунохемілюм</w:t>
            </w:r>
            <w:r w:rsidRPr="00E82297">
              <w:rPr>
                <w:rFonts w:ascii="Times New Roman" w:hAnsi="Times New Roman" w:cs="Times New Roman"/>
                <w:sz w:val="20"/>
                <w:szCs w:val="20"/>
              </w:rPr>
              <w:lastRenderedPageBreak/>
              <w:t>інесцентного</w:t>
            </w:r>
            <w:proofErr w:type="spellEnd"/>
            <w:r w:rsidRPr="00E82297">
              <w:rPr>
                <w:rFonts w:ascii="Times New Roman" w:hAnsi="Times New Roman" w:cs="Times New Roman"/>
                <w:sz w:val="20"/>
                <w:szCs w:val="20"/>
              </w:rPr>
              <w:t xml:space="preserve"> аналізу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 набір</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lastRenderedPageBreak/>
              <w:t xml:space="preserve">Реагент для світлової проби призначений для перевірки придатності стартерів 1 і 2 та функціонування блоків вимірювання й </w:t>
            </w:r>
            <w:proofErr w:type="spellStart"/>
            <w:r w:rsidRPr="00E82297">
              <w:rPr>
                <w:rFonts w:ascii="Times New Roman" w:hAnsi="Times New Roman" w:cs="Times New Roman"/>
                <w:sz w:val="20"/>
                <w:szCs w:val="20"/>
              </w:rPr>
              <w:t>піпетування</w:t>
            </w:r>
            <w:proofErr w:type="spellEnd"/>
            <w:r w:rsidRPr="00E82297">
              <w:rPr>
                <w:rFonts w:ascii="Times New Roman" w:hAnsi="Times New Roman" w:cs="Times New Roman"/>
                <w:sz w:val="20"/>
                <w:szCs w:val="20"/>
              </w:rPr>
              <w:t xml:space="preserve">. Світлову пробу необхідно виконувати на повністю автоматичному </w:t>
            </w:r>
            <w:r w:rsidRPr="00E82297">
              <w:rPr>
                <w:rFonts w:ascii="Times New Roman" w:hAnsi="Times New Roman" w:cs="Times New Roman"/>
                <w:sz w:val="20"/>
                <w:szCs w:val="20"/>
              </w:rPr>
              <w:lastRenderedPageBreak/>
              <w:t xml:space="preserve">хемілюмінесцентному </w:t>
            </w:r>
            <w:proofErr w:type="spellStart"/>
            <w:r w:rsidRPr="00E82297">
              <w:rPr>
                <w:rFonts w:ascii="Times New Roman" w:hAnsi="Times New Roman" w:cs="Times New Roman"/>
                <w:sz w:val="20"/>
                <w:szCs w:val="20"/>
              </w:rPr>
              <w:t>імуноаналізаторі</w:t>
            </w:r>
            <w:proofErr w:type="spellEnd"/>
            <w:r w:rsidRPr="00E82297">
              <w:rPr>
                <w:rFonts w:ascii="Times New Roman" w:hAnsi="Times New Roman" w:cs="Times New Roman"/>
                <w:sz w:val="20"/>
                <w:szCs w:val="20"/>
              </w:rPr>
              <w:t xml:space="preserve"> (ІХЛА) серії MAGLUMI.</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lastRenderedPageBreak/>
              <w:t>12</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Системна </w:t>
            </w:r>
            <w:proofErr w:type="spellStart"/>
            <w:r w:rsidRPr="00E82297">
              <w:rPr>
                <w:rFonts w:ascii="Times New Roman" w:hAnsi="Times New Roman" w:cs="Times New Roman"/>
                <w:sz w:val="20"/>
                <w:szCs w:val="20"/>
              </w:rPr>
              <w:t>промиваюча</w:t>
            </w:r>
            <w:proofErr w:type="spellEnd"/>
            <w:r w:rsidRPr="00E82297">
              <w:rPr>
                <w:rFonts w:ascii="Times New Roman" w:hAnsi="Times New Roman" w:cs="Times New Roman"/>
                <w:sz w:val="20"/>
                <w:szCs w:val="20"/>
              </w:rPr>
              <w:t xml:space="preserve"> рідина</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флакон</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63377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Засіб для очищення приладу/ аналізатора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Промивний концентрат, 1х714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 xml:space="preserve">, до повністю автоматичного хемілюмінесцентного </w:t>
            </w:r>
            <w:proofErr w:type="spellStart"/>
            <w:r w:rsidRPr="00E82297">
              <w:rPr>
                <w:rFonts w:ascii="Times New Roman" w:hAnsi="Times New Roman" w:cs="Times New Roman"/>
                <w:sz w:val="20"/>
                <w:szCs w:val="20"/>
              </w:rPr>
              <w:t>імуноаналізатора</w:t>
            </w:r>
            <w:proofErr w:type="spellEnd"/>
            <w:r w:rsidRPr="00E82297">
              <w:rPr>
                <w:rFonts w:ascii="Times New Roman" w:hAnsi="Times New Roman" w:cs="Times New Roman"/>
                <w:sz w:val="20"/>
                <w:szCs w:val="20"/>
              </w:rPr>
              <w:t xml:space="preserve"> серії MAGLUMI</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13</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Промиваючий</w:t>
            </w:r>
            <w:proofErr w:type="spellEnd"/>
            <w:r w:rsidRPr="00E82297">
              <w:rPr>
                <w:rFonts w:ascii="Times New Roman" w:hAnsi="Times New Roman" w:cs="Times New Roman"/>
                <w:sz w:val="20"/>
                <w:szCs w:val="20"/>
              </w:rPr>
              <w:t xml:space="preserve"> розчин</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флакон</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63377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Засіб для очищення приладу/ аналізатора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500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 xml:space="preserve">. Засіб для щомісячного очищення автоматичного хемілюмінесцентного </w:t>
            </w:r>
            <w:proofErr w:type="spellStart"/>
            <w:r w:rsidRPr="00E82297">
              <w:rPr>
                <w:rFonts w:ascii="Times New Roman" w:hAnsi="Times New Roman" w:cs="Times New Roman"/>
                <w:sz w:val="20"/>
                <w:szCs w:val="20"/>
              </w:rPr>
              <w:t>імуноаналізатора</w:t>
            </w:r>
            <w:proofErr w:type="spellEnd"/>
            <w:r w:rsidRPr="00E82297">
              <w:rPr>
                <w:rFonts w:ascii="Times New Roman" w:hAnsi="Times New Roman" w:cs="Times New Roman"/>
                <w:sz w:val="20"/>
                <w:szCs w:val="20"/>
              </w:rPr>
              <w:t xml:space="preserve"> серії MAGLUMI</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14</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Старт-реагент (набір)</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25</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61163</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Окислювальний реагент для </w:t>
            </w:r>
            <w:proofErr w:type="spellStart"/>
            <w:r w:rsidRPr="00E82297">
              <w:rPr>
                <w:rFonts w:ascii="Times New Roman" w:hAnsi="Times New Roman" w:cs="Times New Roman"/>
                <w:sz w:val="20"/>
                <w:szCs w:val="20"/>
              </w:rPr>
              <w:t>імунохемілюмінесцентного</w:t>
            </w:r>
            <w:proofErr w:type="spellEnd"/>
            <w:r w:rsidRPr="00E82297">
              <w:rPr>
                <w:rFonts w:ascii="Times New Roman" w:hAnsi="Times New Roman" w:cs="Times New Roman"/>
                <w:sz w:val="20"/>
                <w:szCs w:val="20"/>
              </w:rPr>
              <w:t xml:space="preserve"> аналізу IVD (діагностика </w:t>
            </w:r>
            <w:proofErr w:type="spellStart"/>
            <w:r w:rsidRPr="00E82297">
              <w:rPr>
                <w:rFonts w:ascii="Times New Roman" w:hAnsi="Times New Roman" w:cs="Times New Roman"/>
                <w:sz w:val="20"/>
                <w:szCs w:val="20"/>
              </w:rPr>
              <w:t>in</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vitro</w:t>
            </w:r>
            <w:proofErr w:type="spellEnd"/>
            <w:r w:rsidRPr="00E82297">
              <w:rPr>
                <w:rFonts w:ascii="Times New Roman" w:hAnsi="Times New Roman" w:cs="Times New Roman"/>
                <w:sz w:val="20"/>
                <w:szCs w:val="20"/>
              </w:rPr>
              <w:t xml:space="preserve"> )</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2х230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 xml:space="preserve">, Старт-реагент до повністю автоматичного хемілюмінесцентного </w:t>
            </w:r>
            <w:proofErr w:type="spellStart"/>
            <w:r w:rsidRPr="00E82297">
              <w:rPr>
                <w:rFonts w:ascii="Times New Roman" w:hAnsi="Times New Roman" w:cs="Times New Roman"/>
                <w:sz w:val="20"/>
                <w:szCs w:val="20"/>
              </w:rPr>
              <w:t>імуноаналізатора</w:t>
            </w:r>
            <w:proofErr w:type="spellEnd"/>
            <w:r w:rsidRPr="00E82297">
              <w:rPr>
                <w:rFonts w:ascii="Times New Roman" w:hAnsi="Times New Roman" w:cs="Times New Roman"/>
                <w:sz w:val="20"/>
                <w:szCs w:val="20"/>
              </w:rPr>
              <w:t xml:space="preserve"> серії MAGLUMI</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15</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Cечовий</w:t>
            </w:r>
            <w:proofErr w:type="spellEnd"/>
            <w:r w:rsidRPr="00E82297">
              <w:rPr>
                <w:rFonts w:ascii="Times New Roman" w:hAnsi="Times New Roman" w:cs="Times New Roman"/>
                <w:sz w:val="20"/>
                <w:szCs w:val="20"/>
              </w:rPr>
              <w:t xml:space="preserve"> контроль </w:t>
            </w:r>
            <w:proofErr w:type="spellStart"/>
            <w:r w:rsidRPr="00E82297">
              <w:rPr>
                <w:rFonts w:ascii="Times New Roman" w:hAnsi="Times New Roman" w:cs="Times New Roman"/>
                <w:sz w:val="20"/>
                <w:szCs w:val="20"/>
              </w:rPr>
              <w:t>Comby</w:t>
            </w:r>
            <w:proofErr w:type="spellEnd"/>
            <w:r w:rsidRPr="00E82297">
              <w:rPr>
                <w:rFonts w:ascii="Times New Roman" w:hAnsi="Times New Roman" w:cs="Times New Roman"/>
                <w:sz w:val="20"/>
                <w:szCs w:val="20"/>
              </w:rPr>
              <w:t xml:space="preserve"> PN</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30219</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Множинні </w:t>
            </w:r>
            <w:proofErr w:type="spellStart"/>
            <w:r w:rsidRPr="00E82297">
              <w:rPr>
                <w:rFonts w:ascii="Times New Roman" w:hAnsi="Times New Roman" w:cs="Times New Roman"/>
                <w:sz w:val="20"/>
                <w:szCs w:val="20"/>
              </w:rPr>
              <w:t>аналіти</w:t>
            </w:r>
            <w:proofErr w:type="spellEnd"/>
            <w:r w:rsidRPr="00E82297">
              <w:rPr>
                <w:rFonts w:ascii="Times New Roman" w:hAnsi="Times New Roman" w:cs="Times New Roman"/>
                <w:sz w:val="20"/>
                <w:szCs w:val="20"/>
              </w:rPr>
              <w:t xml:space="preserve"> сечі IVD, </w:t>
            </w:r>
            <w:r w:rsidRPr="00E82297">
              <w:rPr>
                <w:rFonts w:ascii="Times New Roman" w:hAnsi="Times New Roman" w:cs="Times New Roman"/>
                <w:sz w:val="20"/>
                <w:szCs w:val="20"/>
              </w:rPr>
              <w:br/>
              <w:t>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Сечовий контроль для використання на  аналізаторі сечі </w:t>
            </w:r>
            <w:proofErr w:type="spellStart"/>
            <w:r w:rsidRPr="00E82297">
              <w:rPr>
                <w:rFonts w:ascii="Times New Roman" w:hAnsi="Times New Roman" w:cs="Times New Roman"/>
                <w:sz w:val="20"/>
                <w:szCs w:val="20"/>
              </w:rPr>
              <w:t>Strip</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Reader</w:t>
            </w:r>
            <w:proofErr w:type="spellEnd"/>
            <w:r w:rsidRPr="00E82297">
              <w:rPr>
                <w:rFonts w:ascii="Times New Roman" w:hAnsi="Times New Roman" w:cs="Times New Roman"/>
                <w:sz w:val="20"/>
                <w:szCs w:val="20"/>
              </w:rPr>
              <w:t xml:space="preserve"> 40. Фасування:  2х12</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16</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Протромбіновий</w:t>
            </w:r>
            <w:proofErr w:type="spellEnd"/>
            <w:r w:rsidRPr="00E82297">
              <w:rPr>
                <w:rFonts w:ascii="Times New Roman" w:hAnsi="Times New Roman" w:cs="Times New Roman"/>
                <w:sz w:val="20"/>
                <w:szCs w:val="20"/>
              </w:rPr>
              <w:t xml:space="preserve"> час, рідкий  Dia-PT LIQUID</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30591</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Набір реагентів для вимірювання </w:t>
            </w:r>
            <w:proofErr w:type="spellStart"/>
            <w:r w:rsidRPr="00E82297">
              <w:rPr>
                <w:rFonts w:ascii="Times New Roman" w:hAnsi="Times New Roman" w:cs="Times New Roman"/>
                <w:sz w:val="20"/>
                <w:szCs w:val="20"/>
              </w:rPr>
              <w:t>протромбінового</w:t>
            </w:r>
            <w:proofErr w:type="spellEnd"/>
            <w:r w:rsidRPr="00E82297">
              <w:rPr>
                <w:rFonts w:ascii="Times New Roman" w:hAnsi="Times New Roman" w:cs="Times New Roman"/>
                <w:sz w:val="20"/>
                <w:szCs w:val="20"/>
              </w:rPr>
              <w:t xml:space="preserve"> часу (</w:t>
            </w:r>
            <w:proofErr w:type="spellStart"/>
            <w:r w:rsidRPr="00E82297">
              <w:rPr>
                <w:rFonts w:ascii="Times New Roman" w:hAnsi="Times New Roman" w:cs="Times New Roman"/>
                <w:sz w:val="20"/>
                <w:szCs w:val="20"/>
              </w:rPr>
              <w:t>ПЧ</w:t>
            </w:r>
            <w:proofErr w:type="spellEnd"/>
            <w:r w:rsidRPr="00E82297">
              <w:rPr>
                <w:rFonts w:ascii="Times New Roman" w:hAnsi="Times New Roman" w:cs="Times New Roman"/>
                <w:sz w:val="20"/>
                <w:szCs w:val="20"/>
              </w:rPr>
              <w:t>) IVD</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Фасування:12х8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 xml:space="preserve">Набір повинен бути рідким, готовим до використання, призначеним для визначення </w:t>
            </w:r>
            <w:proofErr w:type="spellStart"/>
            <w:r w:rsidRPr="00E82297">
              <w:rPr>
                <w:rFonts w:ascii="Times New Roman" w:hAnsi="Times New Roman" w:cs="Times New Roman"/>
                <w:sz w:val="20"/>
                <w:szCs w:val="20"/>
              </w:rPr>
              <w:t>протромбінового</w:t>
            </w:r>
            <w:proofErr w:type="spellEnd"/>
            <w:r w:rsidRPr="00E82297">
              <w:rPr>
                <w:rFonts w:ascii="Times New Roman" w:hAnsi="Times New Roman" w:cs="Times New Roman"/>
                <w:sz w:val="20"/>
                <w:szCs w:val="20"/>
              </w:rPr>
              <w:t xml:space="preserve"> часу, а також факторів II, V, VII і X.</w:t>
            </w:r>
            <w:r w:rsidRPr="00E82297">
              <w:rPr>
                <w:rFonts w:ascii="Times New Roman" w:hAnsi="Times New Roman" w:cs="Times New Roman"/>
                <w:sz w:val="20"/>
                <w:szCs w:val="20"/>
              </w:rPr>
              <w:br/>
              <w:t>Кількість реагенту на 1 дослідження: не більш як 100 мкл.</w:t>
            </w:r>
            <w:r w:rsidRPr="00E82297">
              <w:rPr>
                <w:rFonts w:ascii="Times New Roman" w:hAnsi="Times New Roman" w:cs="Times New Roman"/>
                <w:sz w:val="20"/>
                <w:szCs w:val="20"/>
              </w:rPr>
              <w:br/>
              <w:t>Відкриті флакони повинні бути стабільні протягом не менш як 12 днів за температури 2-8°С.</w:t>
            </w:r>
            <w:r w:rsidRPr="00E82297">
              <w:rPr>
                <w:rFonts w:ascii="Times New Roman" w:hAnsi="Times New Roman" w:cs="Times New Roman"/>
                <w:sz w:val="20"/>
                <w:szCs w:val="20"/>
              </w:rPr>
              <w:br/>
              <w:t xml:space="preserve">Доступні межі інтерференцій: гепарин ≤ 0,75 </w:t>
            </w:r>
            <w:proofErr w:type="spellStart"/>
            <w:r w:rsidRPr="00E82297">
              <w:rPr>
                <w:rFonts w:ascii="Times New Roman" w:hAnsi="Times New Roman" w:cs="Times New Roman"/>
                <w:sz w:val="20"/>
                <w:szCs w:val="20"/>
              </w:rPr>
              <w:t>МО</w:t>
            </w:r>
            <w:proofErr w:type="spellEnd"/>
            <w:r w:rsidRPr="00E82297">
              <w:rPr>
                <w:rFonts w:ascii="Times New Roman" w:hAnsi="Times New Roman" w:cs="Times New Roman"/>
                <w:sz w:val="20"/>
                <w:szCs w:val="20"/>
              </w:rPr>
              <w:t>/</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 xml:space="preserve">, гемоглобін ≤ 6,8 г/л, </w:t>
            </w:r>
            <w:proofErr w:type="spellStart"/>
            <w:r w:rsidRPr="00E82297">
              <w:rPr>
                <w:rFonts w:ascii="Times New Roman" w:hAnsi="Times New Roman" w:cs="Times New Roman"/>
                <w:sz w:val="20"/>
                <w:szCs w:val="20"/>
              </w:rPr>
              <w:t>тригліцериди</w:t>
            </w:r>
            <w:proofErr w:type="spellEnd"/>
            <w:r w:rsidRPr="00E82297">
              <w:rPr>
                <w:rFonts w:ascii="Times New Roman" w:hAnsi="Times New Roman" w:cs="Times New Roman"/>
                <w:sz w:val="20"/>
                <w:szCs w:val="20"/>
              </w:rPr>
              <w:t xml:space="preserve"> ≤ 8 </w:t>
            </w:r>
            <w:proofErr w:type="spellStart"/>
            <w:r w:rsidRPr="00E82297">
              <w:rPr>
                <w:rFonts w:ascii="Times New Roman" w:hAnsi="Times New Roman" w:cs="Times New Roman"/>
                <w:sz w:val="20"/>
                <w:szCs w:val="20"/>
              </w:rPr>
              <w:t>ммоль</w:t>
            </w:r>
            <w:proofErr w:type="spellEnd"/>
            <w:r w:rsidRPr="00E82297">
              <w:rPr>
                <w:rFonts w:ascii="Times New Roman" w:hAnsi="Times New Roman" w:cs="Times New Roman"/>
                <w:sz w:val="20"/>
                <w:szCs w:val="20"/>
              </w:rPr>
              <w:t xml:space="preserve">/л, білірубін ≤ 270 </w:t>
            </w:r>
            <w:proofErr w:type="spellStart"/>
            <w:r w:rsidRPr="00E82297">
              <w:rPr>
                <w:rFonts w:ascii="Times New Roman" w:hAnsi="Times New Roman" w:cs="Times New Roman"/>
                <w:sz w:val="20"/>
                <w:szCs w:val="20"/>
              </w:rPr>
              <w:t>мкмоль</w:t>
            </w:r>
            <w:proofErr w:type="spellEnd"/>
            <w:r w:rsidRPr="00E82297">
              <w:rPr>
                <w:rFonts w:ascii="Times New Roman" w:hAnsi="Times New Roman" w:cs="Times New Roman"/>
                <w:sz w:val="20"/>
                <w:szCs w:val="20"/>
              </w:rPr>
              <w:t>/л.</w:t>
            </w:r>
            <w:r w:rsidRPr="00E82297">
              <w:rPr>
                <w:rFonts w:ascii="Times New Roman" w:hAnsi="Times New Roman" w:cs="Times New Roman"/>
                <w:sz w:val="20"/>
                <w:szCs w:val="20"/>
              </w:rPr>
              <w:br/>
              <w:t>Точність у межах аналізу: CV&lt;0,6%.</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17</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АЧТЧ, рідкий Dia-PTT LIQUID</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55981</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Активований частковий </w:t>
            </w:r>
            <w:proofErr w:type="spellStart"/>
            <w:r w:rsidRPr="00E82297">
              <w:rPr>
                <w:rFonts w:ascii="Times New Roman" w:hAnsi="Times New Roman" w:cs="Times New Roman"/>
                <w:sz w:val="20"/>
                <w:szCs w:val="20"/>
              </w:rPr>
              <w:t>тромбопластиновий</w:t>
            </w:r>
            <w:proofErr w:type="spellEnd"/>
            <w:r w:rsidRPr="00E82297">
              <w:rPr>
                <w:rFonts w:ascii="Times New Roman" w:hAnsi="Times New Roman" w:cs="Times New Roman"/>
                <w:sz w:val="20"/>
                <w:szCs w:val="20"/>
              </w:rPr>
              <w:t xml:space="preserve"> час ІВД, набір, аналіз утворення згустку</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12х4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 xml:space="preserve">Набір повинен бути рідким, готовим до використання, призначеним для визначення активованого часткового </w:t>
            </w:r>
            <w:proofErr w:type="spellStart"/>
            <w:r w:rsidRPr="00E82297">
              <w:rPr>
                <w:rFonts w:ascii="Times New Roman" w:hAnsi="Times New Roman" w:cs="Times New Roman"/>
                <w:sz w:val="20"/>
                <w:szCs w:val="20"/>
              </w:rPr>
              <w:t>тромбопластинового</w:t>
            </w:r>
            <w:proofErr w:type="spellEnd"/>
            <w:r w:rsidRPr="00E82297">
              <w:rPr>
                <w:rFonts w:ascii="Times New Roman" w:hAnsi="Times New Roman" w:cs="Times New Roman"/>
                <w:sz w:val="20"/>
                <w:szCs w:val="20"/>
              </w:rPr>
              <w:t xml:space="preserve"> часу, а також факторів I, II, V, VIII, IX, X, XI та XI.</w:t>
            </w:r>
            <w:r w:rsidRPr="00E82297">
              <w:rPr>
                <w:rFonts w:ascii="Times New Roman" w:hAnsi="Times New Roman" w:cs="Times New Roman"/>
                <w:sz w:val="20"/>
                <w:szCs w:val="20"/>
              </w:rPr>
              <w:br/>
              <w:t>Кількість реагенту на 1 дослідження: не більш як 50 мкл.</w:t>
            </w:r>
            <w:r w:rsidRPr="00E82297">
              <w:rPr>
                <w:rFonts w:ascii="Times New Roman" w:hAnsi="Times New Roman" w:cs="Times New Roman"/>
                <w:sz w:val="20"/>
                <w:szCs w:val="20"/>
              </w:rPr>
              <w:br/>
              <w:t>Відкриті флакони повинні бути стабільні протягом не менш як 14 днів за температури 2-8°С.</w:t>
            </w:r>
            <w:r w:rsidRPr="00E82297">
              <w:rPr>
                <w:rFonts w:ascii="Times New Roman" w:hAnsi="Times New Roman" w:cs="Times New Roman"/>
                <w:sz w:val="20"/>
                <w:szCs w:val="20"/>
              </w:rPr>
              <w:br/>
            </w:r>
            <w:r w:rsidRPr="00E82297">
              <w:rPr>
                <w:rFonts w:ascii="Times New Roman" w:hAnsi="Times New Roman" w:cs="Times New Roman"/>
                <w:sz w:val="20"/>
                <w:szCs w:val="20"/>
              </w:rPr>
              <w:lastRenderedPageBreak/>
              <w:t xml:space="preserve">Доступні межі інтерференцій: гемоглобін ≤ 3,4 г/л, </w:t>
            </w:r>
            <w:proofErr w:type="spellStart"/>
            <w:r w:rsidRPr="00E82297">
              <w:rPr>
                <w:rFonts w:ascii="Times New Roman" w:hAnsi="Times New Roman" w:cs="Times New Roman"/>
                <w:sz w:val="20"/>
                <w:szCs w:val="20"/>
              </w:rPr>
              <w:t>тригліцериди</w:t>
            </w:r>
            <w:proofErr w:type="spellEnd"/>
            <w:r w:rsidRPr="00E82297">
              <w:rPr>
                <w:rFonts w:ascii="Times New Roman" w:hAnsi="Times New Roman" w:cs="Times New Roman"/>
                <w:sz w:val="20"/>
                <w:szCs w:val="20"/>
              </w:rPr>
              <w:t xml:space="preserve">  ≤ 10 </w:t>
            </w:r>
            <w:proofErr w:type="spellStart"/>
            <w:r w:rsidRPr="00E82297">
              <w:rPr>
                <w:rFonts w:ascii="Times New Roman" w:hAnsi="Times New Roman" w:cs="Times New Roman"/>
                <w:sz w:val="20"/>
                <w:szCs w:val="20"/>
              </w:rPr>
              <w:t>ммоль</w:t>
            </w:r>
            <w:proofErr w:type="spellEnd"/>
            <w:r w:rsidRPr="00E82297">
              <w:rPr>
                <w:rFonts w:ascii="Times New Roman" w:hAnsi="Times New Roman" w:cs="Times New Roman"/>
                <w:sz w:val="20"/>
                <w:szCs w:val="20"/>
              </w:rPr>
              <w:t xml:space="preserve">/л, білірубін ≤ 240 </w:t>
            </w:r>
            <w:proofErr w:type="spellStart"/>
            <w:r w:rsidRPr="00E82297">
              <w:rPr>
                <w:rFonts w:ascii="Times New Roman" w:hAnsi="Times New Roman" w:cs="Times New Roman"/>
                <w:sz w:val="20"/>
                <w:szCs w:val="20"/>
              </w:rPr>
              <w:t>мкмоль</w:t>
            </w:r>
            <w:proofErr w:type="spellEnd"/>
            <w:r w:rsidRPr="00E82297">
              <w:rPr>
                <w:rFonts w:ascii="Times New Roman" w:hAnsi="Times New Roman" w:cs="Times New Roman"/>
                <w:sz w:val="20"/>
                <w:szCs w:val="20"/>
              </w:rPr>
              <w:t>/л.</w:t>
            </w:r>
            <w:r w:rsidRPr="00E82297">
              <w:rPr>
                <w:rFonts w:ascii="Times New Roman" w:hAnsi="Times New Roman" w:cs="Times New Roman"/>
                <w:sz w:val="20"/>
                <w:szCs w:val="20"/>
              </w:rPr>
              <w:br/>
              <w:t>Точність у межах аналізу: CV&lt;0,5%.</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lastRenderedPageBreak/>
              <w:t>18</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Тромбіновий</w:t>
            </w:r>
            <w:proofErr w:type="spellEnd"/>
            <w:r w:rsidRPr="00E82297">
              <w:rPr>
                <w:rFonts w:ascii="Times New Roman" w:hAnsi="Times New Roman" w:cs="Times New Roman"/>
                <w:sz w:val="20"/>
                <w:szCs w:val="20"/>
              </w:rPr>
              <w:t xml:space="preserve"> час Dia-TT</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19</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55987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Тромбіновий</w:t>
            </w:r>
            <w:proofErr w:type="spellEnd"/>
            <w:r w:rsidRPr="00E82297">
              <w:rPr>
                <w:rFonts w:ascii="Times New Roman" w:hAnsi="Times New Roman" w:cs="Times New Roman"/>
                <w:sz w:val="20"/>
                <w:szCs w:val="20"/>
              </w:rPr>
              <w:t xml:space="preserve"> час ІВД, набір, аналіз утворення згустку</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12х3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 xml:space="preserve">Набір повинен бути </w:t>
            </w:r>
            <w:proofErr w:type="spellStart"/>
            <w:r w:rsidRPr="00E82297">
              <w:rPr>
                <w:rFonts w:ascii="Times New Roman" w:hAnsi="Times New Roman" w:cs="Times New Roman"/>
                <w:sz w:val="20"/>
                <w:szCs w:val="20"/>
              </w:rPr>
              <w:t>ліофілізованим</w:t>
            </w:r>
            <w:proofErr w:type="spellEnd"/>
            <w:r w:rsidRPr="00E82297">
              <w:rPr>
                <w:rFonts w:ascii="Times New Roman" w:hAnsi="Times New Roman" w:cs="Times New Roman"/>
                <w:sz w:val="20"/>
                <w:szCs w:val="20"/>
              </w:rPr>
              <w:t xml:space="preserve">, придатним для розчинення дистильованою водою, використання, призначеним для кількісного визначення </w:t>
            </w:r>
            <w:proofErr w:type="spellStart"/>
            <w:r w:rsidRPr="00E82297">
              <w:rPr>
                <w:rFonts w:ascii="Times New Roman" w:hAnsi="Times New Roman" w:cs="Times New Roman"/>
                <w:sz w:val="20"/>
                <w:szCs w:val="20"/>
              </w:rPr>
              <w:t>тромбінового</w:t>
            </w:r>
            <w:proofErr w:type="spellEnd"/>
            <w:r w:rsidRPr="00E82297">
              <w:rPr>
                <w:rFonts w:ascii="Times New Roman" w:hAnsi="Times New Roman" w:cs="Times New Roman"/>
                <w:sz w:val="20"/>
                <w:szCs w:val="20"/>
              </w:rPr>
              <w:t xml:space="preserve"> часу.</w:t>
            </w:r>
            <w:r w:rsidRPr="00E82297">
              <w:rPr>
                <w:rFonts w:ascii="Times New Roman" w:hAnsi="Times New Roman" w:cs="Times New Roman"/>
                <w:sz w:val="20"/>
                <w:szCs w:val="20"/>
              </w:rPr>
              <w:br/>
              <w:t>Кількість розчиненого реагенту на 1 дослідження: не більш як 100 мкл.</w:t>
            </w:r>
            <w:r w:rsidRPr="00E82297">
              <w:rPr>
                <w:rFonts w:ascii="Times New Roman" w:hAnsi="Times New Roman" w:cs="Times New Roman"/>
                <w:sz w:val="20"/>
                <w:szCs w:val="20"/>
              </w:rPr>
              <w:br/>
              <w:t>Відкриті флакони повинні бути стабільні протягом не менш як 15 днів за температури 2-8°С.</w:t>
            </w:r>
            <w:r w:rsidRPr="00E82297">
              <w:rPr>
                <w:rFonts w:ascii="Times New Roman" w:hAnsi="Times New Roman" w:cs="Times New Roman"/>
                <w:sz w:val="20"/>
                <w:szCs w:val="20"/>
              </w:rPr>
              <w:br/>
              <w:t xml:space="preserve">Доступні межі інтерференцій: гемоглобін ≤ 3,4 г/л; </w:t>
            </w:r>
            <w:proofErr w:type="spellStart"/>
            <w:r w:rsidRPr="00E82297">
              <w:rPr>
                <w:rFonts w:ascii="Times New Roman" w:hAnsi="Times New Roman" w:cs="Times New Roman"/>
                <w:sz w:val="20"/>
                <w:szCs w:val="20"/>
              </w:rPr>
              <w:t>тригліцерид</w:t>
            </w:r>
            <w:proofErr w:type="spellEnd"/>
            <w:r w:rsidRPr="00E82297">
              <w:rPr>
                <w:rFonts w:ascii="Times New Roman" w:hAnsi="Times New Roman" w:cs="Times New Roman"/>
                <w:sz w:val="20"/>
                <w:szCs w:val="20"/>
              </w:rPr>
              <w:t xml:space="preserve"> ≤ 4 </w:t>
            </w:r>
            <w:proofErr w:type="spellStart"/>
            <w:r w:rsidRPr="00E82297">
              <w:rPr>
                <w:rFonts w:ascii="Times New Roman" w:hAnsi="Times New Roman" w:cs="Times New Roman"/>
                <w:sz w:val="20"/>
                <w:szCs w:val="20"/>
              </w:rPr>
              <w:t>ммоль</w:t>
            </w:r>
            <w:proofErr w:type="spellEnd"/>
            <w:r w:rsidRPr="00E82297">
              <w:rPr>
                <w:rFonts w:ascii="Times New Roman" w:hAnsi="Times New Roman" w:cs="Times New Roman"/>
                <w:sz w:val="20"/>
                <w:szCs w:val="20"/>
              </w:rPr>
              <w:t xml:space="preserve">/л; білірубін ≤ 240 </w:t>
            </w:r>
            <w:proofErr w:type="spellStart"/>
            <w:r w:rsidRPr="00E82297">
              <w:rPr>
                <w:rFonts w:ascii="Times New Roman" w:hAnsi="Times New Roman" w:cs="Times New Roman"/>
                <w:sz w:val="20"/>
                <w:szCs w:val="20"/>
              </w:rPr>
              <w:t>мкмоль</w:t>
            </w:r>
            <w:proofErr w:type="spellEnd"/>
            <w:r w:rsidRPr="00E82297">
              <w:rPr>
                <w:rFonts w:ascii="Times New Roman" w:hAnsi="Times New Roman" w:cs="Times New Roman"/>
                <w:sz w:val="20"/>
                <w:szCs w:val="20"/>
              </w:rPr>
              <w:t>/л.</w:t>
            </w:r>
            <w:r w:rsidRPr="00E82297">
              <w:rPr>
                <w:rFonts w:ascii="Times New Roman" w:hAnsi="Times New Roman" w:cs="Times New Roman"/>
                <w:sz w:val="20"/>
                <w:szCs w:val="20"/>
              </w:rPr>
              <w:br/>
              <w:t>Точність у межах аналізу: CV&lt;2,1%.</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19</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Фібриноген Dia-FIB</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55997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br/>
              <w:t>Фібриноген (фактор I) ІВД, набір, аналіз утворення згустку</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12х5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 xml:space="preserve">Набір повинен бути </w:t>
            </w:r>
            <w:proofErr w:type="spellStart"/>
            <w:r w:rsidRPr="00E82297">
              <w:rPr>
                <w:rFonts w:ascii="Times New Roman" w:hAnsi="Times New Roman" w:cs="Times New Roman"/>
                <w:sz w:val="20"/>
                <w:szCs w:val="20"/>
              </w:rPr>
              <w:t>ліофілізованим</w:t>
            </w:r>
            <w:proofErr w:type="spellEnd"/>
            <w:r w:rsidRPr="00E82297">
              <w:rPr>
                <w:rFonts w:ascii="Times New Roman" w:hAnsi="Times New Roman" w:cs="Times New Roman"/>
                <w:sz w:val="20"/>
                <w:szCs w:val="20"/>
              </w:rPr>
              <w:t>, придатним для розчинення дистильованою водою, використання, призначеним для кількісного визначення рівнів фібриногену в плазмі методом Клауса.</w:t>
            </w:r>
            <w:r w:rsidRPr="00E82297">
              <w:rPr>
                <w:rFonts w:ascii="Times New Roman" w:hAnsi="Times New Roman" w:cs="Times New Roman"/>
                <w:sz w:val="20"/>
                <w:szCs w:val="20"/>
              </w:rPr>
              <w:br/>
              <w:t>Кількість розчиненого реагенту на 1 дослідження: не більш як 50 мкл.</w:t>
            </w:r>
            <w:r w:rsidRPr="00E82297">
              <w:rPr>
                <w:rFonts w:ascii="Times New Roman" w:hAnsi="Times New Roman" w:cs="Times New Roman"/>
                <w:sz w:val="20"/>
                <w:szCs w:val="20"/>
              </w:rPr>
              <w:br/>
              <w:t>Відкриті флакони повинні бути стабільні протягом не менш як 7 днів за температури 2-8°С.</w:t>
            </w:r>
            <w:r w:rsidRPr="00E82297">
              <w:rPr>
                <w:rFonts w:ascii="Times New Roman" w:hAnsi="Times New Roman" w:cs="Times New Roman"/>
                <w:sz w:val="20"/>
                <w:szCs w:val="20"/>
              </w:rPr>
              <w:br/>
              <w:t xml:space="preserve">Доступні межі інтерференцій: гепарин ≤ 2,0 </w:t>
            </w:r>
            <w:proofErr w:type="spellStart"/>
            <w:r w:rsidRPr="00E82297">
              <w:rPr>
                <w:rFonts w:ascii="Times New Roman" w:hAnsi="Times New Roman" w:cs="Times New Roman"/>
                <w:sz w:val="20"/>
                <w:szCs w:val="20"/>
              </w:rPr>
              <w:t>МО</w:t>
            </w:r>
            <w:proofErr w:type="spellEnd"/>
            <w:r w:rsidRPr="00E82297">
              <w:rPr>
                <w:rFonts w:ascii="Times New Roman" w:hAnsi="Times New Roman" w:cs="Times New Roman"/>
                <w:sz w:val="20"/>
                <w:szCs w:val="20"/>
              </w:rPr>
              <w:t>/</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 xml:space="preserve">, гемоглобін ≤ 6,8 г/л, </w:t>
            </w:r>
            <w:proofErr w:type="spellStart"/>
            <w:r w:rsidRPr="00E82297">
              <w:rPr>
                <w:rFonts w:ascii="Times New Roman" w:hAnsi="Times New Roman" w:cs="Times New Roman"/>
                <w:sz w:val="20"/>
                <w:szCs w:val="20"/>
              </w:rPr>
              <w:t>тригліцерид</w:t>
            </w:r>
            <w:proofErr w:type="spellEnd"/>
            <w:r w:rsidRPr="00E82297">
              <w:rPr>
                <w:rFonts w:ascii="Times New Roman" w:hAnsi="Times New Roman" w:cs="Times New Roman"/>
                <w:sz w:val="20"/>
                <w:szCs w:val="20"/>
              </w:rPr>
              <w:t xml:space="preserve"> ≤ 10 </w:t>
            </w:r>
            <w:proofErr w:type="spellStart"/>
            <w:r w:rsidRPr="00E82297">
              <w:rPr>
                <w:rFonts w:ascii="Times New Roman" w:hAnsi="Times New Roman" w:cs="Times New Roman"/>
                <w:sz w:val="20"/>
                <w:szCs w:val="20"/>
              </w:rPr>
              <w:t>ммоль</w:t>
            </w:r>
            <w:proofErr w:type="spellEnd"/>
            <w:r w:rsidRPr="00E82297">
              <w:rPr>
                <w:rFonts w:ascii="Times New Roman" w:hAnsi="Times New Roman" w:cs="Times New Roman"/>
                <w:sz w:val="20"/>
                <w:szCs w:val="20"/>
              </w:rPr>
              <w:t xml:space="preserve">/л, білірубін ≤ 340 </w:t>
            </w:r>
            <w:proofErr w:type="spellStart"/>
            <w:r w:rsidRPr="00E82297">
              <w:rPr>
                <w:rFonts w:ascii="Times New Roman" w:hAnsi="Times New Roman" w:cs="Times New Roman"/>
                <w:sz w:val="20"/>
                <w:szCs w:val="20"/>
              </w:rPr>
              <w:t>мкмоль</w:t>
            </w:r>
            <w:proofErr w:type="spellEnd"/>
            <w:r w:rsidRPr="00E82297">
              <w:rPr>
                <w:rFonts w:ascii="Times New Roman" w:hAnsi="Times New Roman" w:cs="Times New Roman"/>
                <w:sz w:val="20"/>
                <w:szCs w:val="20"/>
              </w:rPr>
              <w:t>/л.</w:t>
            </w:r>
            <w:r w:rsidRPr="00E82297">
              <w:rPr>
                <w:rFonts w:ascii="Times New Roman" w:hAnsi="Times New Roman" w:cs="Times New Roman"/>
                <w:sz w:val="20"/>
                <w:szCs w:val="20"/>
              </w:rPr>
              <w:br/>
              <w:t>Точність у межах аналізу: CV&lt;2,2%.</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20</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Розчин </w:t>
            </w:r>
            <w:proofErr w:type="spellStart"/>
            <w:r w:rsidRPr="00E82297">
              <w:rPr>
                <w:rFonts w:ascii="Times New Roman" w:hAnsi="Times New Roman" w:cs="Times New Roman"/>
                <w:sz w:val="20"/>
                <w:szCs w:val="20"/>
              </w:rPr>
              <w:t>імідазолу</w:t>
            </w:r>
            <w:proofErr w:type="spellEnd"/>
            <w:r w:rsidRPr="00E82297">
              <w:rPr>
                <w:rFonts w:ascii="Times New Roman" w:hAnsi="Times New Roman" w:cs="Times New Roman"/>
                <w:sz w:val="20"/>
                <w:szCs w:val="20"/>
              </w:rPr>
              <w:t xml:space="preserve"> Dia-IMIDAZOL</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55997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br/>
              <w:t>Фібриноген (фактор I) ІВД, набір, аналіз утворення згустку</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12х15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 xml:space="preserve">Буферний розчин, що має бути придатним для розведення контрольного матеріалу, </w:t>
            </w:r>
            <w:proofErr w:type="spellStart"/>
            <w:r w:rsidRPr="00E82297">
              <w:rPr>
                <w:rFonts w:ascii="Times New Roman" w:hAnsi="Times New Roman" w:cs="Times New Roman"/>
                <w:sz w:val="20"/>
                <w:szCs w:val="20"/>
              </w:rPr>
              <w:t>калібраторів</w:t>
            </w:r>
            <w:proofErr w:type="spellEnd"/>
            <w:r w:rsidRPr="00E82297">
              <w:rPr>
                <w:rFonts w:ascii="Times New Roman" w:hAnsi="Times New Roman" w:cs="Times New Roman"/>
                <w:sz w:val="20"/>
                <w:szCs w:val="20"/>
              </w:rPr>
              <w:t xml:space="preserve"> та людських зразків при проведенні </w:t>
            </w:r>
            <w:proofErr w:type="spellStart"/>
            <w:r w:rsidRPr="00E82297">
              <w:rPr>
                <w:rFonts w:ascii="Times New Roman" w:hAnsi="Times New Roman" w:cs="Times New Roman"/>
                <w:sz w:val="20"/>
                <w:szCs w:val="20"/>
              </w:rPr>
              <w:t>коагуляційних</w:t>
            </w:r>
            <w:proofErr w:type="spellEnd"/>
            <w:r w:rsidRPr="00E82297">
              <w:rPr>
                <w:rFonts w:ascii="Times New Roman" w:hAnsi="Times New Roman" w:cs="Times New Roman"/>
                <w:sz w:val="20"/>
                <w:szCs w:val="20"/>
              </w:rPr>
              <w:t xml:space="preserve"> тестів на визначення </w:t>
            </w:r>
            <w:proofErr w:type="spellStart"/>
            <w:r w:rsidRPr="00E82297">
              <w:rPr>
                <w:rFonts w:ascii="Times New Roman" w:hAnsi="Times New Roman" w:cs="Times New Roman"/>
                <w:sz w:val="20"/>
                <w:szCs w:val="20"/>
              </w:rPr>
              <w:t>ПЧ</w:t>
            </w:r>
            <w:proofErr w:type="spellEnd"/>
            <w:r w:rsidRPr="00E82297">
              <w:rPr>
                <w:rFonts w:ascii="Times New Roman" w:hAnsi="Times New Roman" w:cs="Times New Roman"/>
                <w:sz w:val="20"/>
                <w:szCs w:val="20"/>
              </w:rPr>
              <w:t xml:space="preserve">, фібриногену, </w:t>
            </w:r>
            <w:proofErr w:type="spellStart"/>
            <w:r w:rsidRPr="00E82297">
              <w:rPr>
                <w:rFonts w:ascii="Times New Roman" w:hAnsi="Times New Roman" w:cs="Times New Roman"/>
                <w:sz w:val="20"/>
                <w:szCs w:val="20"/>
              </w:rPr>
              <w:t>Д-димеру</w:t>
            </w:r>
            <w:proofErr w:type="spellEnd"/>
            <w:r w:rsidRPr="00E82297">
              <w:rPr>
                <w:rFonts w:ascii="Times New Roman" w:hAnsi="Times New Roman" w:cs="Times New Roman"/>
                <w:sz w:val="20"/>
                <w:szCs w:val="20"/>
              </w:rPr>
              <w:t>, факторів.</w:t>
            </w:r>
            <w:r w:rsidRPr="00E82297">
              <w:rPr>
                <w:rFonts w:ascii="Times New Roman" w:hAnsi="Times New Roman" w:cs="Times New Roman"/>
                <w:sz w:val="20"/>
                <w:szCs w:val="20"/>
              </w:rPr>
              <w:br/>
              <w:t>Відкриті флакони повинні бути стабільні протягом не менш як 8 тижнів за температури 2-8°С.</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21</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Кальцію хлорид 0,025М Dia-CaCI2</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30593</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Кальцію хлорид. Реагент для</w:t>
            </w:r>
            <w:r w:rsidRPr="00E82297">
              <w:rPr>
                <w:rFonts w:ascii="Times New Roman" w:hAnsi="Times New Roman" w:cs="Times New Roman"/>
                <w:sz w:val="20"/>
                <w:szCs w:val="20"/>
              </w:rPr>
              <w:br/>
              <w:t>аналізу утворення згустку IVD</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12х16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0,025М буферний розчин кальцію хлориду із консервантом.</w:t>
            </w:r>
            <w:r w:rsidRPr="00E82297">
              <w:rPr>
                <w:rFonts w:ascii="Times New Roman" w:hAnsi="Times New Roman" w:cs="Times New Roman"/>
                <w:sz w:val="20"/>
                <w:szCs w:val="20"/>
              </w:rPr>
              <w:br/>
              <w:t>Готовий до використання. Відкриті флакони повинні бути стабільні протягом не менш як 8 тижнів за температури 2-8°С.</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22</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Контрольна плазма Dia-Control I-ІІ (для </w:t>
            </w:r>
            <w:proofErr w:type="spellStart"/>
            <w:r w:rsidRPr="00E82297">
              <w:rPr>
                <w:rFonts w:ascii="Times New Roman" w:hAnsi="Times New Roman" w:cs="Times New Roman"/>
                <w:sz w:val="20"/>
                <w:szCs w:val="20"/>
              </w:rPr>
              <w:t>ПЧ</w:t>
            </w:r>
            <w:proofErr w:type="spellEnd"/>
            <w:r w:rsidRPr="00E82297">
              <w:rPr>
                <w:rFonts w:ascii="Times New Roman" w:hAnsi="Times New Roman" w:cs="Times New Roman"/>
                <w:sz w:val="20"/>
                <w:szCs w:val="20"/>
              </w:rPr>
              <w:t>, АЧTЧ, TЧ, Фібриногену, АТ ІІІ)</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55996</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Численні фактори згортання ІВД, набір, аналіз утворення згустку</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рівень 1: 5х1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 xml:space="preserve">; рівень 2: 5х1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 xml:space="preserve">Контрольна плазма, що призначена для внутрішнього контролю якості системи вимірювання коагуляції, а саме для тестів на </w:t>
            </w:r>
            <w:proofErr w:type="spellStart"/>
            <w:r w:rsidRPr="00E82297">
              <w:rPr>
                <w:rFonts w:ascii="Times New Roman" w:hAnsi="Times New Roman" w:cs="Times New Roman"/>
                <w:sz w:val="20"/>
                <w:szCs w:val="20"/>
              </w:rPr>
              <w:t>ПЧ</w:t>
            </w:r>
            <w:proofErr w:type="spellEnd"/>
            <w:r w:rsidRPr="00E82297">
              <w:rPr>
                <w:rFonts w:ascii="Times New Roman" w:hAnsi="Times New Roman" w:cs="Times New Roman"/>
                <w:sz w:val="20"/>
                <w:szCs w:val="20"/>
              </w:rPr>
              <w:t xml:space="preserve">, АЧТЧ, фібриноген, ТЧ та </w:t>
            </w:r>
            <w:proofErr w:type="spellStart"/>
            <w:r w:rsidRPr="00E82297">
              <w:rPr>
                <w:rFonts w:ascii="Times New Roman" w:hAnsi="Times New Roman" w:cs="Times New Roman"/>
                <w:sz w:val="20"/>
                <w:szCs w:val="20"/>
              </w:rPr>
              <w:t>антитромбін</w:t>
            </w:r>
            <w:proofErr w:type="spellEnd"/>
            <w:r w:rsidRPr="00E82297">
              <w:rPr>
                <w:rFonts w:ascii="Times New Roman" w:hAnsi="Times New Roman" w:cs="Times New Roman"/>
                <w:sz w:val="20"/>
                <w:szCs w:val="20"/>
              </w:rPr>
              <w:t xml:space="preserve"> ІІІ. Реагент повинен бути отриманий з </w:t>
            </w:r>
            <w:proofErr w:type="spellStart"/>
            <w:r w:rsidRPr="00E82297">
              <w:rPr>
                <w:rFonts w:ascii="Times New Roman" w:hAnsi="Times New Roman" w:cs="Times New Roman"/>
                <w:sz w:val="20"/>
                <w:szCs w:val="20"/>
              </w:rPr>
              <w:t>антикоагульованої</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пулованої</w:t>
            </w:r>
            <w:proofErr w:type="spellEnd"/>
            <w:r w:rsidRPr="00E82297">
              <w:rPr>
                <w:rFonts w:ascii="Times New Roman" w:hAnsi="Times New Roman" w:cs="Times New Roman"/>
                <w:sz w:val="20"/>
                <w:szCs w:val="20"/>
              </w:rPr>
              <w:t xml:space="preserve"> плазми людини від здорових донорів зі </w:t>
            </w:r>
            <w:r w:rsidRPr="00E82297">
              <w:rPr>
                <w:rFonts w:ascii="Times New Roman" w:hAnsi="Times New Roman" w:cs="Times New Roman"/>
                <w:sz w:val="20"/>
                <w:szCs w:val="20"/>
              </w:rPr>
              <w:lastRenderedPageBreak/>
              <w:t>стабілізатором та консервантом.</w:t>
            </w:r>
            <w:r w:rsidRPr="00E82297">
              <w:rPr>
                <w:rFonts w:ascii="Times New Roman" w:hAnsi="Times New Roman" w:cs="Times New Roman"/>
                <w:sz w:val="20"/>
                <w:szCs w:val="20"/>
              </w:rPr>
              <w:br/>
              <w:t>Відкриті флакони повинні бути стабільні протягом не менш як 4 години при температурі 20-25°С та не менш як 30 днів при температурі -20°С.</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lastRenderedPageBreak/>
              <w:t>23</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Контрольна плазма для </w:t>
            </w:r>
            <w:proofErr w:type="spellStart"/>
            <w:r w:rsidRPr="00E82297">
              <w:rPr>
                <w:rFonts w:ascii="Times New Roman" w:hAnsi="Times New Roman" w:cs="Times New Roman"/>
                <w:sz w:val="20"/>
                <w:szCs w:val="20"/>
              </w:rPr>
              <w:t>Д-димеру</w:t>
            </w:r>
            <w:proofErr w:type="spellEnd"/>
            <w:r w:rsidRPr="00E82297">
              <w:rPr>
                <w:rFonts w:ascii="Times New Roman" w:hAnsi="Times New Roman" w:cs="Times New Roman"/>
                <w:sz w:val="20"/>
                <w:szCs w:val="20"/>
              </w:rPr>
              <w:t xml:space="preserve"> Dia-CONT </w:t>
            </w:r>
            <w:proofErr w:type="spellStart"/>
            <w:r w:rsidRPr="00E82297">
              <w:rPr>
                <w:rFonts w:ascii="Times New Roman" w:hAnsi="Times New Roman" w:cs="Times New Roman"/>
                <w:sz w:val="20"/>
                <w:szCs w:val="20"/>
              </w:rPr>
              <w:t>Ddi</w:t>
            </w:r>
            <w:proofErr w:type="spellEnd"/>
            <w:r w:rsidRPr="00E82297">
              <w:rPr>
                <w:rFonts w:ascii="Times New Roman" w:hAnsi="Times New Roman" w:cs="Times New Roman"/>
                <w:sz w:val="20"/>
                <w:szCs w:val="20"/>
              </w:rPr>
              <w:t xml:space="preserve"> I_II</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47347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D-</w:t>
            </w:r>
            <w:proofErr w:type="spellStart"/>
            <w:r w:rsidRPr="00E82297">
              <w:rPr>
                <w:rFonts w:ascii="Times New Roman" w:hAnsi="Times New Roman" w:cs="Times New Roman"/>
                <w:sz w:val="20"/>
                <w:szCs w:val="20"/>
              </w:rPr>
              <w:t>димер</w:t>
            </w:r>
            <w:proofErr w:type="spellEnd"/>
            <w:r w:rsidRPr="00E82297">
              <w:rPr>
                <w:rFonts w:ascii="Times New Roman" w:hAnsi="Times New Roman" w:cs="Times New Roman"/>
                <w:sz w:val="20"/>
                <w:szCs w:val="20"/>
              </w:rPr>
              <w:t xml:space="preserve"> IVD, контроль</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рівень 1 - 5х1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 xml:space="preserve">; рівень 2 - 5х1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 xml:space="preserve">Контрольна плазма для проведення контролю якості вимірювання концентрації </w:t>
            </w:r>
            <w:proofErr w:type="spellStart"/>
            <w:r w:rsidRPr="00E82297">
              <w:rPr>
                <w:rFonts w:ascii="Times New Roman" w:hAnsi="Times New Roman" w:cs="Times New Roman"/>
                <w:sz w:val="20"/>
                <w:szCs w:val="20"/>
              </w:rPr>
              <w:t>Д-димеру</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Термін придатності після відкриття флакону: 8 годин при 20-25°С та 48 годин при 2-8°С.</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24</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Кювети </w:t>
            </w:r>
            <w:proofErr w:type="spellStart"/>
            <w:r w:rsidRPr="00E82297">
              <w:rPr>
                <w:rFonts w:ascii="Times New Roman" w:hAnsi="Times New Roman" w:cs="Times New Roman"/>
                <w:sz w:val="20"/>
                <w:szCs w:val="20"/>
              </w:rPr>
              <w:t>Coag</w:t>
            </w:r>
            <w:proofErr w:type="spellEnd"/>
            <w:r w:rsidRPr="00E82297">
              <w:rPr>
                <w:rFonts w:ascii="Times New Roman" w:hAnsi="Times New Roman" w:cs="Times New Roman"/>
                <w:sz w:val="20"/>
                <w:szCs w:val="20"/>
              </w:rPr>
              <w:t xml:space="preserve"> D</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24</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61032</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br/>
              <w:t>Кювета для лабораторного аналізатора ІВД, одноразового використання</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Фасування: 1000 штук в упаковці.</w:t>
            </w:r>
            <w:r w:rsidRPr="00E82297">
              <w:rPr>
                <w:rFonts w:ascii="Times New Roman" w:hAnsi="Times New Roman" w:cs="Times New Roman"/>
                <w:sz w:val="20"/>
                <w:szCs w:val="20"/>
              </w:rPr>
              <w:br/>
              <w:t xml:space="preserve">Повинні бути придатними для використання з </w:t>
            </w:r>
            <w:proofErr w:type="spellStart"/>
            <w:r w:rsidRPr="00E82297">
              <w:rPr>
                <w:rFonts w:ascii="Times New Roman" w:hAnsi="Times New Roman" w:cs="Times New Roman"/>
                <w:sz w:val="20"/>
                <w:szCs w:val="20"/>
              </w:rPr>
              <w:t>коагулометрами</w:t>
            </w:r>
            <w:proofErr w:type="spellEnd"/>
            <w:r w:rsidRPr="00E82297">
              <w:rPr>
                <w:rFonts w:ascii="Times New Roman" w:hAnsi="Times New Roman" w:cs="Times New Roman"/>
                <w:sz w:val="20"/>
                <w:szCs w:val="20"/>
              </w:rPr>
              <w:t xml:space="preserve"> виробника </w:t>
            </w:r>
            <w:proofErr w:type="spellStart"/>
            <w:r w:rsidRPr="00E82297">
              <w:rPr>
                <w:rFonts w:ascii="Times New Roman" w:hAnsi="Times New Roman" w:cs="Times New Roman"/>
                <w:sz w:val="20"/>
                <w:szCs w:val="20"/>
              </w:rPr>
              <w:t>Diagon</w:t>
            </w:r>
            <w:proofErr w:type="spellEnd"/>
            <w:r w:rsidRPr="00E82297">
              <w:rPr>
                <w:rFonts w:ascii="Times New Roman" w:hAnsi="Times New Roman" w:cs="Times New Roman"/>
                <w:sz w:val="20"/>
                <w:szCs w:val="20"/>
              </w:rPr>
              <w:t xml:space="preserve"> (серія </w:t>
            </w:r>
            <w:proofErr w:type="spellStart"/>
            <w:r w:rsidRPr="00E82297">
              <w:rPr>
                <w:rFonts w:ascii="Times New Roman" w:hAnsi="Times New Roman" w:cs="Times New Roman"/>
                <w:sz w:val="20"/>
                <w:szCs w:val="20"/>
              </w:rPr>
              <w:t>Coag</w:t>
            </w:r>
            <w:proofErr w:type="spellEnd"/>
            <w:r w:rsidRPr="00E82297">
              <w:rPr>
                <w:rFonts w:ascii="Times New Roman" w:hAnsi="Times New Roman" w:cs="Times New Roman"/>
                <w:sz w:val="20"/>
                <w:szCs w:val="20"/>
              </w:rPr>
              <w:t>).</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25</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Реагент для промивання </w:t>
            </w:r>
            <w:proofErr w:type="spellStart"/>
            <w:r w:rsidRPr="00E82297">
              <w:rPr>
                <w:rFonts w:ascii="Times New Roman" w:hAnsi="Times New Roman" w:cs="Times New Roman"/>
                <w:sz w:val="20"/>
                <w:szCs w:val="20"/>
              </w:rPr>
              <w:t>Coag</w:t>
            </w:r>
            <w:proofErr w:type="spellEnd"/>
            <w:r w:rsidRPr="00E82297">
              <w:rPr>
                <w:rFonts w:ascii="Times New Roman" w:hAnsi="Times New Roman" w:cs="Times New Roman"/>
                <w:sz w:val="20"/>
                <w:szCs w:val="20"/>
              </w:rPr>
              <w:t xml:space="preserve"> </w:t>
            </w:r>
            <w:proofErr w:type="spellStart"/>
            <w:r w:rsidRPr="00E82297">
              <w:rPr>
                <w:rFonts w:ascii="Times New Roman" w:hAnsi="Times New Roman" w:cs="Times New Roman"/>
                <w:sz w:val="20"/>
                <w:szCs w:val="20"/>
              </w:rPr>
              <w:t>Cleaner</w:t>
            </w:r>
            <w:proofErr w:type="spellEnd"/>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proofErr w:type="spellStart"/>
            <w:r w:rsidRPr="00E82297">
              <w:rPr>
                <w:rFonts w:ascii="Times New Roman" w:hAnsi="Times New Roman" w:cs="Times New Roman"/>
                <w:sz w:val="20"/>
                <w:szCs w:val="20"/>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52</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63377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Засіб очищення приладу/аналізатора ІВД</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Фасування: 1х4,5 л.</w:t>
            </w:r>
            <w:r w:rsidRPr="00E82297">
              <w:rPr>
                <w:rFonts w:ascii="Times New Roman" w:hAnsi="Times New Roman" w:cs="Times New Roman"/>
                <w:sz w:val="20"/>
                <w:szCs w:val="20"/>
              </w:rPr>
              <w:br/>
              <w:t>Розчин призначений для щоденного обслуговування аналізаторів гемостазу та містить ПАР у кількості не більше 1%.</w:t>
            </w:r>
            <w:r w:rsidRPr="00E82297">
              <w:rPr>
                <w:rFonts w:ascii="Times New Roman" w:hAnsi="Times New Roman" w:cs="Times New Roman"/>
                <w:sz w:val="20"/>
                <w:szCs w:val="20"/>
              </w:rPr>
              <w:br/>
              <w:t xml:space="preserve">Повинен бути придатними для використання з </w:t>
            </w:r>
            <w:proofErr w:type="spellStart"/>
            <w:r w:rsidRPr="00E82297">
              <w:rPr>
                <w:rFonts w:ascii="Times New Roman" w:hAnsi="Times New Roman" w:cs="Times New Roman"/>
                <w:sz w:val="20"/>
                <w:szCs w:val="20"/>
              </w:rPr>
              <w:t>коагулометрами</w:t>
            </w:r>
            <w:proofErr w:type="spellEnd"/>
            <w:r w:rsidRPr="00E82297">
              <w:rPr>
                <w:rFonts w:ascii="Times New Roman" w:hAnsi="Times New Roman" w:cs="Times New Roman"/>
                <w:sz w:val="20"/>
                <w:szCs w:val="20"/>
              </w:rPr>
              <w:t xml:space="preserve"> виробника </w:t>
            </w:r>
            <w:proofErr w:type="spellStart"/>
            <w:r w:rsidRPr="00E82297">
              <w:rPr>
                <w:rFonts w:ascii="Times New Roman" w:hAnsi="Times New Roman" w:cs="Times New Roman"/>
                <w:sz w:val="20"/>
                <w:szCs w:val="20"/>
              </w:rPr>
              <w:t>Diagon</w:t>
            </w:r>
            <w:proofErr w:type="spellEnd"/>
            <w:r w:rsidRPr="00E82297">
              <w:rPr>
                <w:rFonts w:ascii="Times New Roman" w:hAnsi="Times New Roman" w:cs="Times New Roman"/>
                <w:sz w:val="20"/>
                <w:szCs w:val="20"/>
              </w:rPr>
              <w:t xml:space="preserve"> (серія </w:t>
            </w:r>
            <w:proofErr w:type="spellStart"/>
            <w:r w:rsidRPr="00E82297">
              <w:rPr>
                <w:rFonts w:ascii="Times New Roman" w:hAnsi="Times New Roman" w:cs="Times New Roman"/>
                <w:sz w:val="20"/>
                <w:szCs w:val="20"/>
              </w:rPr>
              <w:t>Coag</w:t>
            </w:r>
            <w:proofErr w:type="spellEnd"/>
            <w:r w:rsidRPr="00E82297">
              <w:rPr>
                <w:rFonts w:ascii="Times New Roman" w:hAnsi="Times New Roman" w:cs="Times New Roman"/>
                <w:sz w:val="20"/>
                <w:szCs w:val="20"/>
              </w:rPr>
              <w:t>).</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26</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Реагент для промивання Dia-SORB</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набір</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63377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Засіб очищення приладу/аналізатора ІВД</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12х15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t>Призначений для щоденного обслуговування та очищення автоматичних аналізаторів для діагностичних вимірювань.</w:t>
            </w:r>
            <w:r w:rsidRPr="00E82297">
              <w:rPr>
                <w:rFonts w:ascii="Times New Roman" w:hAnsi="Times New Roman" w:cs="Times New Roman"/>
                <w:sz w:val="20"/>
                <w:szCs w:val="20"/>
              </w:rPr>
              <w:br/>
            </w:r>
            <w:proofErr w:type="spellStart"/>
            <w:r w:rsidRPr="00E82297">
              <w:rPr>
                <w:rFonts w:ascii="Times New Roman" w:hAnsi="Times New Roman" w:cs="Times New Roman"/>
                <w:sz w:val="20"/>
                <w:szCs w:val="20"/>
              </w:rPr>
              <w:t>Гіпохлоритний</w:t>
            </w:r>
            <w:proofErr w:type="spellEnd"/>
            <w:r w:rsidRPr="00E82297">
              <w:rPr>
                <w:rFonts w:ascii="Times New Roman" w:hAnsi="Times New Roman" w:cs="Times New Roman"/>
                <w:sz w:val="20"/>
                <w:szCs w:val="20"/>
              </w:rPr>
              <w:t xml:space="preserve"> реагент для промивання, що очищає від клітин, а також білків та </w:t>
            </w:r>
            <w:proofErr w:type="spellStart"/>
            <w:r w:rsidRPr="00E82297">
              <w:rPr>
                <w:rFonts w:ascii="Times New Roman" w:hAnsi="Times New Roman" w:cs="Times New Roman"/>
                <w:sz w:val="20"/>
                <w:szCs w:val="20"/>
              </w:rPr>
              <w:t>тригліцеридів</w:t>
            </w:r>
            <w:proofErr w:type="spellEnd"/>
            <w:r w:rsidRPr="00E82297">
              <w:rPr>
                <w:rFonts w:ascii="Times New Roman" w:hAnsi="Times New Roman" w:cs="Times New Roman"/>
                <w:sz w:val="20"/>
                <w:szCs w:val="20"/>
              </w:rPr>
              <w:t xml:space="preserve"> шляхом окисного перетравлення та </w:t>
            </w:r>
            <w:proofErr w:type="spellStart"/>
            <w:r w:rsidRPr="00E82297">
              <w:rPr>
                <w:rFonts w:ascii="Times New Roman" w:hAnsi="Times New Roman" w:cs="Times New Roman"/>
                <w:sz w:val="20"/>
                <w:szCs w:val="20"/>
              </w:rPr>
              <w:t>солюбілізації</w:t>
            </w:r>
            <w:proofErr w:type="spellEnd"/>
            <w:r w:rsidRPr="00E82297">
              <w:rPr>
                <w:rFonts w:ascii="Times New Roman" w:hAnsi="Times New Roman" w:cs="Times New Roman"/>
                <w:sz w:val="20"/>
                <w:szCs w:val="20"/>
              </w:rPr>
              <w:t xml:space="preserve"> миючого засобу.</w:t>
            </w:r>
            <w:r w:rsidRPr="00E82297">
              <w:rPr>
                <w:rFonts w:ascii="Times New Roman" w:hAnsi="Times New Roman" w:cs="Times New Roman"/>
                <w:sz w:val="20"/>
                <w:szCs w:val="20"/>
              </w:rPr>
              <w:br/>
              <w:t xml:space="preserve">Склад: </w:t>
            </w:r>
            <w:proofErr w:type="spellStart"/>
            <w:r w:rsidRPr="00E82297">
              <w:rPr>
                <w:rFonts w:ascii="Times New Roman" w:hAnsi="Times New Roman" w:cs="Times New Roman"/>
                <w:sz w:val="20"/>
                <w:szCs w:val="20"/>
              </w:rPr>
              <w:t>гіпохлорит</w:t>
            </w:r>
            <w:proofErr w:type="spellEnd"/>
            <w:r w:rsidRPr="00E82297">
              <w:rPr>
                <w:rFonts w:ascii="Times New Roman" w:hAnsi="Times New Roman" w:cs="Times New Roman"/>
                <w:sz w:val="20"/>
                <w:szCs w:val="20"/>
              </w:rPr>
              <w:t xml:space="preserve"> натрію ≤5,0%, гідроксид калію ≤1,0% та детергент ≤1,0%.</w:t>
            </w:r>
            <w:r w:rsidRPr="00E82297">
              <w:rPr>
                <w:rFonts w:ascii="Times New Roman" w:hAnsi="Times New Roman" w:cs="Times New Roman"/>
                <w:sz w:val="20"/>
                <w:szCs w:val="20"/>
              </w:rPr>
              <w:br/>
              <w:t xml:space="preserve">Повинен бути придатними для використання з </w:t>
            </w:r>
            <w:proofErr w:type="spellStart"/>
            <w:r w:rsidRPr="00E82297">
              <w:rPr>
                <w:rFonts w:ascii="Times New Roman" w:hAnsi="Times New Roman" w:cs="Times New Roman"/>
                <w:sz w:val="20"/>
                <w:szCs w:val="20"/>
              </w:rPr>
              <w:t>коагулометрами</w:t>
            </w:r>
            <w:proofErr w:type="spellEnd"/>
            <w:r w:rsidRPr="00E82297">
              <w:rPr>
                <w:rFonts w:ascii="Times New Roman" w:hAnsi="Times New Roman" w:cs="Times New Roman"/>
                <w:sz w:val="20"/>
                <w:szCs w:val="20"/>
              </w:rPr>
              <w:t xml:space="preserve"> виробника </w:t>
            </w:r>
            <w:proofErr w:type="spellStart"/>
            <w:r w:rsidRPr="00E82297">
              <w:rPr>
                <w:rFonts w:ascii="Times New Roman" w:hAnsi="Times New Roman" w:cs="Times New Roman"/>
                <w:sz w:val="20"/>
                <w:szCs w:val="20"/>
              </w:rPr>
              <w:t>Diagon</w:t>
            </w:r>
            <w:proofErr w:type="spellEnd"/>
            <w:r w:rsidRPr="00E82297">
              <w:rPr>
                <w:rFonts w:ascii="Times New Roman" w:hAnsi="Times New Roman" w:cs="Times New Roman"/>
                <w:sz w:val="20"/>
                <w:szCs w:val="20"/>
              </w:rPr>
              <w:t xml:space="preserve"> (серія </w:t>
            </w:r>
            <w:proofErr w:type="spellStart"/>
            <w:r w:rsidRPr="00E82297">
              <w:rPr>
                <w:rFonts w:ascii="Times New Roman" w:hAnsi="Times New Roman" w:cs="Times New Roman"/>
                <w:sz w:val="20"/>
                <w:szCs w:val="20"/>
              </w:rPr>
              <w:t>Coag</w:t>
            </w:r>
            <w:proofErr w:type="spellEnd"/>
            <w:r w:rsidRPr="00E82297">
              <w:rPr>
                <w:rFonts w:ascii="Times New Roman" w:hAnsi="Times New Roman" w:cs="Times New Roman"/>
                <w:sz w:val="20"/>
                <w:szCs w:val="20"/>
              </w:rPr>
              <w:t>).</w:t>
            </w:r>
          </w:p>
        </w:tc>
      </w:tr>
      <w:tr w:rsidR="00E82297" w:rsidRPr="00354E50" w:rsidTr="00E82297">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E82297" w:rsidRPr="00E82297" w:rsidRDefault="00E82297" w:rsidP="00E82297">
            <w:pPr>
              <w:spacing w:after="0" w:line="240" w:lineRule="auto"/>
              <w:jc w:val="center"/>
              <w:rPr>
                <w:rFonts w:ascii="Times New Roman" w:eastAsia="Times New Roman" w:hAnsi="Times New Roman" w:cs="Times New Roman"/>
                <w:bCs/>
                <w:sz w:val="20"/>
                <w:szCs w:val="20"/>
              </w:rPr>
            </w:pPr>
            <w:r w:rsidRPr="00E82297">
              <w:rPr>
                <w:rFonts w:ascii="Times New Roman" w:eastAsia="Times New Roman" w:hAnsi="Times New Roman" w:cs="Times New Roman"/>
                <w:bCs/>
                <w:sz w:val="20"/>
                <w:szCs w:val="20"/>
              </w:rPr>
              <w:t>27</w:t>
            </w:r>
          </w:p>
        </w:tc>
        <w:tc>
          <w:tcPr>
            <w:tcW w:w="1773"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Реагент для промивання Diaclean-SYS</w:t>
            </w:r>
          </w:p>
        </w:tc>
        <w:tc>
          <w:tcPr>
            <w:tcW w:w="1225"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флакон</w:t>
            </w:r>
          </w:p>
        </w:tc>
        <w:tc>
          <w:tcPr>
            <w:tcW w:w="856" w:type="dxa"/>
            <w:tcBorders>
              <w:top w:val="single" w:sz="4" w:space="0" w:color="auto"/>
              <w:left w:val="nil"/>
              <w:bottom w:val="single" w:sz="4" w:space="0" w:color="auto"/>
              <w:right w:val="single" w:sz="4" w:space="0" w:color="auto"/>
            </w:tcBorders>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63377</w:t>
            </w:r>
          </w:p>
        </w:tc>
        <w:tc>
          <w:tcPr>
            <w:tcW w:w="1464"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Засіб очищення приладу/аналізатора ІВД</w:t>
            </w:r>
          </w:p>
        </w:tc>
        <w:tc>
          <w:tcPr>
            <w:tcW w:w="3917" w:type="dxa"/>
            <w:tcBorders>
              <w:top w:val="nil"/>
              <w:left w:val="nil"/>
              <w:bottom w:val="single" w:sz="4" w:space="0" w:color="auto"/>
              <w:right w:val="single" w:sz="4" w:space="0" w:color="auto"/>
            </w:tcBorders>
            <w:shd w:val="clear" w:color="auto" w:fill="auto"/>
            <w:vAlign w:val="center"/>
          </w:tcPr>
          <w:p w:rsidR="00E82297" w:rsidRPr="00E82297" w:rsidRDefault="00E82297" w:rsidP="00E82297">
            <w:pPr>
              <w:jc w:val="center"/>
              <w:rPr>
                <w:rFonts w:ascii="Times New Roman" w:hAnsi="Times New Roman" w:cs="Times New Roman"/>
                <w:sz w:val="20"/>
                <w:szCs w:val="20"/>
              </w:rPr>
            </w:pPr>
            <w:r w:rsidRPr="00E82297">
              <w:rPr>
                <w:rFonts w:ascii="Times New Roman" w:hAnsi="Times New Roman" w:cs="Times New Roman"/>
                <w:sz w:val="20"/>
                <w:szCs w:val="20"/>
              </w:rPr>
              <w:t xml:space="preserve">Фасування: 1х100 </w:t>
            </w:r>
            <w:proofErr w:type="spellStart"/>
            <w:r w:rsidRPr="00E82297">
              <w:rPr>
                <w:rFonts w:ascii="Times New Roman" w:hAnsi="Times New Roman" w:cs="Times New Roman"/>
                <w:sz w:val="20"/>
                <w:szCs w:val="20"/>
              </w:rPr>
              <w:t>мл</w:t>
            </w:r>
            <w:proofErr w:type="spellEnd"/>
            <w:r w:rsidRPr="00E82297">
              <w:rPr>
                <w:rFonts w:ascii="Times New Roman" w:hAnsi="Times New Roman" w:cs="Times New Roman"/>
                <w:sz w:val="20"/>
                <w:szCs w:val="20"/>
              </w:rPr>
              <w:t>.</w:t>
            </w:r>
            <w:r w:rsidRPr="00E82297">
              <w:rPr>
                <w:rFonts w:ascii="Times New Roman" w:hAnsi="Times New Roman" w:cs="Times New Roman"/>
                <w:sz w:val="20"/>
                <w:szCs w:val="20"/>
              </w:rPr>
              <w:br/>
            </w:r>
            <w:proofErr w:type="spellStart"/>
            <w:r w:rsidRPr="00E82297">
              <w:rPr>
                <w:rFonts w:ascii="Times New Roman" w:hAnsi="Times New Roman" w:cs="Times New Roman"/>
                <w:sz w:val="20"/>
                <w:szCs w:val="20"/>
              </w:rPr>
              <w:t>Гіпохлоритний</w:t>
            </w:r>
            <w:proofErr w:type="spellEnd"/>
            <w:r w:rsidRPr="00E82297">
              <w:rPr>
                <w:rFonts w:ascii="Times New Roman" w:hAnsi="Times New Roman" w:cs="Times New Roman"/>
                <w:sz w:val="20"/>
                <w:szCs w:val="20"/>
              </w:rPr>
              <w:t xml:space="preserve"> промивний розчин для очищення відкладення клітин, білків та </w:t>
            </w:r>
            <w:proofErr w:type="spellStart"/>
            <w:r w:rsidRPr="00E82297">
              <w:rPr>
                <w:rFonts w:ascii="Times New Roman" w:hAnsi="Times New Roman" w:cs="Times New Roman"/>
                <w:sz w:val="20"/>
                <w:szCs w:val="20"/>
              </w:rPr>
              <w:t>тригліцеридів</w:t>
            </w:r>
            <w:proofErr w:type="spellEnd"/>
            <w:r w:rsidRPr="00E82297">
              <w:rPr>
                <w:rFonts w:ascii="Times New Roman" w:hAnsi="Times New Roman" w:cs="Times New Roman"/>
                <w:sz w:val="20"/>
                <w:szCs w:val="20"/>
              </w:rPr>
              <w:t xml:space="preserve"> шляхом кислотного розкладання.</w:t>
            </w:r>
            <w:r w:rsidRPr="00E82297">
              <w:rPr>
                <w:rFonts w:ascii="Times New Roman" w:hAnsi="Times New Roman" w:cs="Times New Roman"/>
                <w:sz w:val="20"/>
                <w:szCs w:val="20"/>
              </w:rPr>
              <w:br/>
              <w:t xml:space="preserve">Вміст: </w:t>
            </w:r>
            <w:proofErr w:type="spellStart"/>
            <w:r w:rsidRPr="00E82297">
              <w:rPr>
                <w:rFonts w:ascii="Times New Roman" w:hAnsi="Times New Roman" w:cs="Times New Roman"/>
                <w:sz w:val="20"/>
                <w:szCs w:val="20"/>
              </w:rPr>
              <w:t>гіпохлорит</w:t>
            </w:r>
            <w:proofErr w:type="spellEnd"/>
            <w:r w:rsidRPr="00E82297">
              <w:rPr>
                <w:rFonts w:ascii="Times New Roman" w:hAnsi="Times New Roman" w:cs="Times New Roman"/>
                <w:sz w:val="20"/>
                <w:szCs w:val="20"/>
              </w:rPr>
              <w:t xml:space="preserve"> натрію ≤16,0%.</w:t>
            </w:r>
            <w:r w:rsidRPr="00E82297">
              <w:rPr>
                <w:rFonts w:ascii="Times New Roman" w:hAnsi="Times New Roman" w:cs="Times New Roman"/>
                <w:sz w:val="20"/>
                <w:szCs w:val="20"/>
              </w:rPr>
              <w:br/>
              <w:t xml:space="preserve">Повинен бути придатними для використання з </w:t>
            </w:r>
            <w:proofErr w:type="spellStart"/>
            <w:r w:rsidRPr="00E82297">
              <w:rPr>
                <w:rFonts w:ascii="Times New Roman" w:hAnsi="Times New Roman" w:cs="Times New Roman"/>
                <w:sz w:val="20"/>
                <w:szCs w:val="20"/>
              </w:rPr>
              <w:t>коагулометрами</w:t>
            </w:r>
            <w:proofErr w:type="spellEnd"/>
            <w:r w:rsidRPr="00E82297">
              <w:rPr>
                <w:rFonts w:ascii="Times New Roman" w:hAnsi="Times New Roman" w:cs="Times New Roman"/>
                <w:sz w:val="20"/>
                <w:szCs w:val="20"/>
              </w:rPr>
              <w:t xml:space="preserve"> виробника </w:t>
            </w:r>
            <w:proofErr w:type="spellStart"/>
            <w:r w:rsidRPr="00E82297">
              <w:rPr>
                <w:rFonts w:ascii="Times New Roman" w:hAnsi="Times New Roman" w:cs="Times New Roman"/>
                <w:sz w:val="20"/>
                <w:szCs w:val="20"/>
              </w:rPr>
              <w:t>Diagon</w:t>
            </w:r>
            <w:proofErr w:type="spellEnd"/>
            <w:r w:rsidRPr="00E82297">
              <w:rPr>
                <w:rFonts w:ascii="Times New Roman" w:hAnsi="Times New Roman" w:cs="Times New Roman"/>
                <w:sz w:val="20"/>
                <w:szCs w:val="20"/>
              </w:rPr>
              <w:t xml:space="preserve"> (серія </w:t>
            </w:r>
            <w:proofErr w:type="spellStart"/>
            <w:r w:rsidRPr="00E82297">
              <w:rPr>
                <w:rFonts w:ascii="Times New Roman" w:hAnsi="Times New Roman" w:cs="Times New Roman"/>
                <w:sz w:val="20"/>
                <w:szCs w:val="20"/>
              </w:rPr>
              <w:t>Coag</w:t>
            </w:r>
            <w:proofErr w:type="spellEnd"/>
            <w:r w:rsidRPr="00E82297">
              <w:rPr>
                <w:rFonts w:ascii="Times New Roman" w:hAnsi="Times New Roman" w:cs="Times New Roman"/>
                <w:sz w:val="20"/>
                <w:szCs w:val="20"/>
              </w:rPr>
              <w:t>).</w:t>
            </w:r>
          </w:p>
        </w:tc>
      </w:tr>
    </w:tbl>
    <w:p w:rsidR="00077E49" w:rsidRPr="00354E50" w:rsidRDefault="00077E49" w:rsidP="00354E50">
      <w:pPr>
        <w:shd w:val="clear" w:color="auto" w:fill="FFFFFF" w:themeFill="background1"/>
        <w:spacing w:after="0" w:line="240" w:lineRule="auto"/>
        <w:jc w:val="center"/>
        <w:rPr>
          <w:rFonts w:ascii="Times New Roman" w:eastAsia="Times New Roman" w:hAnsi="Times New Roman" w:cs="Times New Roman"/>
          <w:i/>
        </w:rPr>
      </w:pPr>
    </w:p>
    <w:p w:rsidR="00D10C46" w:rsidRPr="00C06C8B" w:rsidRDefault="001F189A"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lang w:val="ru-RU"/>
        </w:rPr>
      </w:pPr>
      <w:r w:rsidRPr="00C06C8B">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7E49" w:rsidRPr="000D308C" w:rsidRDefault="001F189A"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rPr>
      </w:pPr>
      <w:r w:rsidRPr="00C06C8B">
        <w:rPr>
          <w:rFonts w:ascii="Times New Roman" w:eastAsia="Times New Roman" w:hAnsi="Times New Roman" w:cs="Times New Roman"/>
          <w:i/>
          <w:sz w:val="24"/>
          <w:szCs w:val="24"/>
        </w:rPr>
        <w:lastRenderedPageBreak/>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077E49" w:rsidRPr="00C06C8B" w:rsidRDefault="00077E49" w:rsidP="00C06C8B">
      <w:pPr>
        <w:shd w:val="clear" w:color="auto" w:fill="FFFFFF"/>
        <w:spacing w:after="0" w:line="240" w:lineRule="auto"/>
        <w:ind w:left="-851" w:firstLine="720"/>
        <w:jc w:val="both"/>
        <w:rPr>
          <w:rFonts w:ascii="Times New Roman" w:eastAsia="Times New Roman" w:hAnsi="Times New Roman" w:cs="Times New Roman"/>
          <w:sz w:val="24"/>
          <w:szCs w:val="24"/>
          <w:highlight w:val="white"/>
        </w:rPr>
      </w:pPr>
    </w:p>
    <w:p w:rsidR="00077E49" w:rsidRPr="00C06C8B" w:rsidRDefault="00C06C8B" w:rsidP="00C06C8B">
      <w:pPr>
        <w:shd w:val="clear" w:color="auto" w:fill="FFFFFF"/>
        <w:tabs>
          <w:tab w:val="left" w:pos="1134"/>
        </w:tabs>
        <w:spacing w:after="0" w:line="240" w:lineRule="auto"/>
        <w:ind w:left="-851"/>
        <w:jc w:val="both"/>
        <w:rPr>
          <w:rFonts w:ascii="Times New Roman" w:eastAsia="Times New Roman" w:hAnsi="Times New Roman" w:cs="Times New Roman"/>
          <w:sz w:val="24"/>
          <w:szCs w:val="24"/>
        </w:rPr>
      </w:pPr>
      <w:r w:rsidRPr="00C06C8B">
        <w:rPr>
          <w:rFonts w:ascii="Times New Roman" w:eastAsia="Times New Roman" w:hAnsi="Times New Roman" w:cs="Times New Roman"/>
          <w:sz w:val="24"/>
          <w:szCs w:val="24"/>
        </w:rPr>
        <w:t xml:space="preserve">1. </w:t>
      </w:r>
      <w:r w:rsidR="001F189A" w:rsidRPr="00C06C8B">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w:t>
      </w:r>
      <w:r>
        <w:rPr>
          <w:rFonts w:ascii="Times New Roman" w:eastAsia="Times New Roman" w:hAnsi="Times New Roman" w:cs="Times New Roman"/>
          <w:sz w:val="24"/>
          <w:szCs w:val="24"/>
        </w:rPr>
        <w:t xml:space="preserve">ді тендерної пропозиції надає </w:t>
      </w:r>
      <w:r w:rsidR="00354E50">
        <w:rPr>
          <w:rFonts w:ascii="Times New Roman" w:eastAsia="Times New Roman" w:hAnsi="Times New Roman" w:cs="Times New Roman"/>
          <w:sz w:val="24"/>
          <w:szCs w:val="24"/>
        </w:rPr>
        <w:t>технічну специфікацію, складену</w:t>
      </w:r>
      <w:r w:rsidR="001F189A" w:rsidRPr="00C06C8B">
        <w:rPr>
          <w:rFonts w:ascii="Times New Roman" w:eastAsia="Times New Roman" w:hAnsi="Times New Roman" w:cs="Times New Roman"/>
          <w:sz w:val="24"/>
          <w:szCs w:val="24"/>
        </w:rPr>
        <w:t xml:space="preserve"> учасником згідно з </w:t>
      </w:r>
      <w:r w:rsidR="001F189A" w:rsidRPr="00C06C8B">
        <w:rPr>
          <w:rFonts w:ascii="Times New Roman" w:eastAsia="Times New Roman" w:hAnsi="Times New Roman" w:cs="Times New Roman"/>
          <w:b/>
          <w:i/>
          <w:sz w:val="24"/>
          <w:szCs w:val="24"/>
        </w:rPr>
        <w:t>Таблицею 1:</w:t>
      </w:r>
    </w:p>
    <w:p w:rsidR="00077E49" w:rsidRPr="00C06C8B" w:rsidRDefault="001F189A" w:rsidP="00C06C8B">
      <w:pPr>
        <w:tabs>
          <w:tab w:val="left" w:pos="1134"/>
        </w:tabs>
        <w:ind w:left="-851"/>
        <w:jc w:val="both"/>
        <w:rPr>
          <w:rFonts w:ascii="Times New Roman" w:eastAsia="Times New Roman" w:hAnsi="Times New Roman" w:cs="Times New Roman"/>
          <w:b/>
          <w:i/>
          <w:sz w:val="24"/>
          <w:szCs w:val="24"/>
          <w:highlight w:val="white"/>
        </w:rPr>
      </w:pP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b/>
          <w:i/>
          <w:sz w:val="24"/>
          <w:szCs w:val="24"/>
          <w:highlight w:val="white"/>
        </w:rPr>
        <w:t xml:space="preserve">       Таблиця 1</w:t>
      </w:r>
    </w:p>
    <w:tbl>
      <w:tblPr>
        <w:tblStyle w:val="af3"/>
        <w:tblW w:w="10490" w:type="dxa"/>
        <w:tblInd w:w="-751" w:type="dxa"/>
        <w:tblBorders>
          <w:top w:val="nil"/>
          <w:left w:val="nil"/>
          <w:bottom w:val="nil"/>
          <w:right w:val="nil"/>
          <w:insideH w:val="nil"/>
          <w:insideV w:val="nil"/>
        </w:tblBorders>
        <w:tblLayout w:type="fixed"/>
        <w:tblLook w:val="0600"/>
      </w:tblPr>
      <w:tblGrid>
        <w:gridCol w:w="653"/>
        <w:gridCol w:w="1897"/>
        <w:gridCol w:w="1035"/>
        <w:gridCol w:w="1230"/>
        <w:gridCol w:w="2840"/>
        <w:gridCol w:w="1245"/>
        <w:gridCol w:w="1590"/>
      </w:tblGrid>
      <w:tr w:rsidR="00077E49" w:rsidTr="003E24CA">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077E49" w:rsidP="003E24CA">
            <w:pPr>
              <w:spacing w:after="0" w:line="240" w:lineRule="auto"/>
              <w:jc w:val="center"/>
              <w:rPr>
                <w:rFonts w:ascii="Times New Roman" w:eastAsia="Times New Roman" w:hAnsi="Times New Roman" w:cs="Times New Roman"/>
                <w:i/>
                <w:sz w:val="24"/>
                <w:szCs w:val="24"/>
                <w:highlight w:val="white"/>
              </w:rPr>
            </w:pPr>
          </w:p>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077E49" w:rsidTr="00C06C8B">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077E49" w:rsidTr="00C06C8B">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r>
    </w:tbl>
    <w:p w:rsidR="00077E49" w:rsidRDefault="00077E49">
      <w:pPr>
        <w:spacing w:after="0" w:line="240" w:lineRule="auto"/>
        <w:ind w:firstLine="283"/>
        <w:jc w:val="both"/>
        <w:rPr>
          <w:rFonts w:ascii="Times New Roman" w:eastAsia="Times New Roman" w:hAnsi="Times New Roman" w:cs="Times New Roman"/>
          <w:i/>
        </w:rPr>
      </w:pP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shd w:val="clear" w:color="auto" w:fill="FFFFFF"/>
        </w:rPr>
        <w:t xml:space="preserve">2. Товари повинні відповідати основним вимогам до медичних виробів для діагностики </w:t>
      </w:r>
      <w:proofErr w:type="spellStart"/>
      <w:r w:rsidRPr="00C06C8B">
        <w:rPr>
          <w:rFonts w:ascii="Times New Roman" w:hAnsi="Times New Roman" w:cs="Times New Roman"/>
          <w:sz w:val="24"/>
          <w:szCs w:val="24"/>
          <w:shd w:val="clear" w:color="auto" w:fill="FFFFFF"/>
        </w:rPr>
        <w:t>invitro</w:t>
      </w:r>
      <w:proofErr w:type="spellEnd"/>
      <w:r w:rsidRPr="00C06C8B">
        <w:rPr>
          <w:rFonts w:ascii="Times New Roman" w:hAnsi="Times New Roman" w:cs="Times New Roman"/>
          <w:sz w:val="24"/>
          <w:szCs w:val="24"/>
          <w:lang w:eastAsia="ar-SA"/>
        </w:rPr>
        <w:t>, згідно з Постановою КМУ від 02.10.2013 року № 754 (Учасник повинен надати у складі тендерної пропозиції</w:t>
      </w:r>
      <w:r w:rsidRPr="00C06C8B">
        <w:rPr>
          <w:rFonts w:ascii="Times New Roman" w:hAnsi="Times New Roman" w:cs="Times New Roman"/>
          <w:sz w:val="24"/>
          <w:szCs w:val="24"/>
        </w:rPr>
        <w:t xml:space="preserve"> копії підтверджуючих документів на кожне найменування запропонованої продукції, </w:t>
      </w:r>
      <w:r w:rsidRPr="00C06C8B">
        <w:rPr>
          <w:rFonts w:ascii="Times New Roman" w:hAnsi="Times New Roman" w:cs="Times New Roman"/>
          <w:b/>
          <w:sz w:val="24"/>
          <w:szCs w:val="24"/>
        </w:rPr>
        <w:t>з обов’язковим виділенням іншим кольором назви запропонованого товару!</w:t>
      </w:r>
      <w:r w:rsidRPr="00C06C8B">
        <w:rPr>
          <w:rFonts w:ascii="Times New Roman" w:hAnsi="Times New Roman" w:cs="Times New Roman"/>
          <w:sz w:val="24"/>
          <w:szCs w:val="24"/>
        </w:rPr>
        <w:t>); .</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rPr>
        <w:t>3.  У</w:t>
      </w:r>
      <w:r w:rsidRPr="00C06C8B">
        <w:rPr>
          <w:rFonts w:ascii="Times New Roman" w:hAnsi="Times New Roman" w:cs="Times New Roman"/>
          <w:sz w:val="24"/>
          <w:szCs w:val="24"/>
          <w:lang w:eastAsia="ar-SA"/>
        </w:rPr>
        <w:t>часник</w:t>
      </w:r>
      <w:r w:rsidRPr="00C06C8B">
        <w:rPr>
          <w:rFonts w:ascii="Times New Roman" w:hAnsi="Times New Roman" w:cs="Times New Roman"/>
          <w:sz w:val="24"/>
          <w:szCs w:val="24"/>
        </w:rPr>
        <w:t xml:space="preserve"> повинен мати чинну ліцензію на провадження господарської діяльності з оптової торгівлі виробами медичного призначення або чинну ліцензію на їх виробництво, якщо Учасник є виробником запропонованого товару (в складі пропозиції надається копія ліцензії, якщо її наявність передбачена законодавством).</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rPr>
        <w:t>4. Надати оригінал гарантійного листа від Учасника щодо строків придатності товарів на момент постачання замовнику (строк придатності товару повинен становити не менше 80% від загального терміну зберігання).</w:t>
      </w:r>
    </w:p>
    <w:p w:rsidR="00C06C8B" w:rsidRPr="001B6CB9" w:rsidRDefault="00C06C8B" w:rsidP="00C06C8B">
      <w:pPr>
        <w:spacing w:after="0" w:line="240" w:lineRule="auto"/>
        <w:ind w:left="-851"/>
        <w:jc w:val="both"/>
        <w:rPr>
          <w:rFonts w:ascii="Times New Roman" w:hAnsi="Times New Roman" w:cs="Times New Roman"/>
          <w:sz w:val="24"/>
          <w:szCs w:val="24"/>
          <w:shd w:val="clear" w:color="auto" w:fill="FFFFFF"/>
          <w:lang w:val="ru-RU"/>
        </w:rPr>
      </w:pPr>
      <w:r w:rsidRPr="00C06C8B">
        <w:rPr>
          <w:rFonts w:ascii="Times New Roman" w:hAnsi="Times New Roman" w:cs="Times New Roman"/>
          <w:sz w:val="24"/>
          <w:szCs w:val="24"/>
        </w:rPr>
        <w:t>5. Надати оригінал гарантійного листа від Учасника про можливість дотримання температурного режиму під час зберігання та транспортування відповідних виробів медичного призначення</w:t>
      </w:r>
      <w:r w:rsidRPr="00C06C8B">
        <w:rPr>
          <w:rFonts w:ascii="Times New Roman" w:hAnsi="Times New Roman" w:cs="Times New Roman"/>
          <w:sz w:val="24"/>
          <w:szCs w:val="24"/>
          <w:shd w:val="clear" w:color="auto" w:fill="FFFFFF"/>
        </w:rPr>
        <w:t>.</w:t>
      </w:r>
    </w:p>
    <w:p w:rsidR="001B6CB9" w:rsidRPr="00DB1CA2" w:rsidRDefault="001B6CB9" w:rsidP="001B6CB9">
      <w:pPr>
        <w:spacing w:after="0" w:line="240" w:lineRule="auto"/>
        <w:ind w:left="-851"/>
        <w:jc w:val="both"/>
        <w:rPr>
          <w:rFonts w:ascii="Times New Roman" w:hAnsi="Times New Roman" w:cs="Times New Roman"/>
          <w:sz w:val="24"/>
          <w:szCs w:val="24"/>
          <w:shd w:val="clear" w:color="auto" w:fill="FFFFFF"/>
        </w:rPr>
      </w:pPr>
      <w:r w:rsidRPr="00AB524F">
        <w:rPr>
          <w:rFonts w:ascii="Times New Roman" w:hAnsi="Times New Roman" w:cs="Times New Roman"/>
          <w:sz w:val="24"/>
          <w:szCs w:val="24"/>
          <w:shd w:val="clear" w:color="auto" w:fill="FFFFFF"/>
        </w:rPr>
        <w:t xml:space="preserve">6. </w:t>
      </w:r>
      <w:r w:rsidRPr="001B6CB9">
        <w:rPr>
          <w:rFonts w:ascii="Times New Roman" w:hAnsi="Times New Roman" w:cs="Times New Roman"/>
          <w:sz w:val="24"/>
          <w:szCs w:val="24"/>
          <w:shd w:val="clear" w:color="auto" w:fill="FFFFFF"/>
        </w:rPr>
        <w:t>Надати</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оригінал</w:t>
      </w:r>
      <w:r w:rsidRPr="001B6CB9">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w:t>
      </w:r>
      <w:r w:rsidRPr="001B6CB9">
        <w:rPr>
          <w:rFonts w:ascii="Times New Roman" w:hAnsi="Times New Roman" w:cs="Times New Roman"/>
          <w:sz w:val="24"/>
          <w:szCs w:val="24"/>
          <w:shd w:val="clear" w:color="auto" w:fill="FFFFFF"/>
        </w:rPr>
        <w:t>або</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копію) гарантійного листа виробника (представництва, філії</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виробника – якщо</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їх</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відповідні</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повноваження</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поширюються на територію</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України) або</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представника, дилера, офіційного</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дистриб’ютора</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уповноваженого на це</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виробником, яким</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підтверджується</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можливість поставки товару, який є предметом закупівлі</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цих</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торгів та пропонується</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учасником, у кількості, зі строками придатності та в терміни, визначені</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документацією</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конкурсних</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торгів та пропозицією</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учасника</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торгів. Гарантійний лист повинен включати номер оголошення</w:t>
      </w:r>
      <w:r w:rsidRPr="001B6CB9">
        <w:rPr>
          <w:rFonts w:ascii="Times New Roman" w:hAnsi="Times New Roman" w:cs="Times New Roman"/>
          <w:sz w:val="24"/>
          <w:szCs w:val="24"/>
          <w:shd w:val="clear" w:color="auto" w:fill="FFFFFF"/>
          <w:lang w:val="ru-RU"/>
        </w:rPr>
        <w:t xml:space="preserve"> </w:t>
      </w:r>
      <w:r w:rsidR="00E63BE9">
        <w:rPr>
          <w:rFonts w:ascii="Times New Roman" w:hAnsi="Times New Roman" w:cs="Times New Roman"/>
          <w:sz w:val="24"/>
          <w:szCs w:val="24"/>
          <w:shd w:val="clear" w:color="auto" w:fill="FFFFFF"/>
        </w:rPr>
        <w:t>оприлюдненого на електрон</w:t>
      </w:r>
      <w:r w:rsidR="00E63BE9" w:rsidRPr="00E63BE9">
        <w:rPr>
          <w:rFonts w:ascii="Times New Roman" w:hAnsi="Times New Roman" w:cs="Times New Roman"/>
          <w:sz w:val="24"/>
          <w:szCs w:val="24"/>
          <w:shd w:val="clear" w:color="auto" w:fill="FFFFFF"/>
          <w:lang w:val="ru-RU"/>
        </w:rPr>
        <w:t xml:space="preserve">ному </w:t>
      </w:r>
      <w:proofErr w:type="spellStart"/>
      <w:r w:rsidR="00E63BE9" w:rsidRPr="00E63BE9">
        <w:rPr>
          <w:rFonts w:ascii="Times New Roman" w:hAnsi="Times New Roman" w:cs="Times New Roman"/>
          <w:sz w:val="24"/>
          <w:szCs w:val="24"/>
          <w:shd w:val="clear" w:color="auto" w:fill="FFFFFF"/>
          <w:lang w:val="ru-RU"/>
        </w:rPr>
        <w:t>майданчику</w:t>
      </w:r>
      <w:proofErr w:type="spellEnd"/>
      <w:r w:rsidRPr="001B6CB9">
        <w:rPr>
          <w:rFonts w:ascii="Times New Roman" w:hAnsi="Times New Roman" w:cs="Times New Roman"/>
          <w:sz w:val="24"/>
          <w:szCs w:val="24"/>
          <w:shd w:val="clear" w:color="auto" w:fill="FFFFFF"/>
        </w:rPr>
        <w:t>, а також</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назву предмету закупівлі та назву</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замовника</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згідно</w:t>
      </w:r>
      <w:r w:rsidRPr="001B6CB9">
        <w:rPr>
          <w:rFonts w:ascii="Times New Roman" w:hAnsi="Times New Roman" w:cs="Times New Roman"/>
          <w:sz w:val="24"/>
          <w:szCs w:val="24"/>
          <w:shd w:val="clear" w:color="auto" w:fill="FFFFFF"/>
          <w:lang w:val="ru-RU"/>
        </w:rPr>
        <w:t xml:space="preserve"> </w:t>
      </w:r>
      <w:r w:rsidRPr="001B6CB9">
        <w:rPr>
          <w:rFonts w:ascii="Times New Roman" w:hAnsi="Times New Roman" w:cs="Times New Roman"/>
          <w:sz w:val="24"/>
          <w:szCs w:val="24"/>
          <w:shd w:val="clear" w:color="auto" w:fill="FFFFFF"/>
        </w:rPr>
        <w:t>оголошення.</w:t>
      </w:r>
    </w:p>
    <w:p w:rsidR="001B6CB9" w:rsidRPr="001B6CB9" w:rsidRDefault="001B6CB9" w:rsidP="00C06C8B">
      <w:pPr>
        <w:spacing w:after="0" w:line="240" w:lineRule="auto"/>
        <w:ind w:left="-851"/>
        <w:jc w:val="both"/>
        <w:rPr>
          <w:rFonts w:ascii="Times New Roman" w:hAnsi="Times New Roman" w:cs="Times New Roman"/>
          <w:sz w:val="24"/>
          <w:szCs w:val="24"/>
          <w:shd w:val="clear" w:color="auto" w:fill="FFFFFF"/>
        </w:rPr>
      </w:pPr>
    </w:p>
    <w:p w:rsidR="00077E49" w:rsidRPr="00F328DD" w:rsidRDefault="00077E49" w:rsidP="00AD36B8">
      <w:pPr>
        <w:spacing w:after="0" w:line="240" w:lineRule="auto"/>
        <w:jc w:val="both"/>
        <w:rPr>
          <w:rFonts w:ascii="Times New Roman" w:eastAsia="Times New Roman" w:hAnsi="Times New Roman" w:cs="Times New Roman"/>
          <w:i/>
          <w:sz w:val="20"/>
          <w:szCs w:val="20"/>
          <w:lang w:val="ru-RU"/>
        </w:rPr>
      </w:pPr>
    </w:p>
    <w:sectPr w:rsidR="00077E49" w:rsidRPr="00F328DD" w:rsidSect="00077E49">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
    <w:nsid w:val="566B7F4B"/>
    <w:multiLevelType w:val="multilevel"/>
    <w:tmpl w:val="501E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7E49"/>
    <w:rsid w:val="00015A0C"/>
    <w:rsid w:val="00077E49"/>
    <w:rsid w:val="000A2F2D"/>
    <w:rsid w:val="000A66FB"/>
    <w:rsid w:val="000D308C"/>
    <w:rsid w:val="001958A8"/>
    <w:rsid w:val="001B11F9"/>
    <w:rsid w:val="001B6CB9"/>
    <w:rsid w:val="001C405B"/>
    <w:rsid w:val="001E6973"/>
    <w:rsid w:val="001F03C2"/>
    <w:rsid w:val="001F189A"/>
    <w:rsid w:val="00204211"/>
    <w:rsid w:val="00222C82"/>
    <w:rsid w:val="0024399D"/>
    <w:rsid w:val="002B1E17"/>
    <w:rsid w:val="00300610"/>
    <w:rsid w:val="00326E24"/>
    <w:rsid w:val="003379A1"/>
    <w:rsid w:val="00342626"/>
    <w:rsid w:val="00354E50"/>
    <w:rsid w:val="003715FC"/>
    <w:rsid w:val="003723CF"/>
    <w:rsid w:val="003D6948"/>
    <w:rsid w:val="003E24CA"/>
    <w:rsid w:val="00470182"/>
    <w:rsid w:val="004A6159"/>
    <w:rsid w:val="004D56A4"/>
    <w:rsid w:val="004F5C39"/>
    <w:rsid w:val="00532A93"/>
    <w:rsid w:val="005708FE"/>
    <w:rsid w:val="00574B18"/>
    <w:rsid w:val="00591AFE"/>
    <w:rsid w:val="00594063"/>
    <w:rsid w:val="006956FD"/>
    <w:rsid w:val="00695F59"/>
    <w:rsid w:val="006A19E5"/>
    <w:rsid w:val="00730F34"/>
    <w:rsid w:val="00735392"/>
    <w:rsid w:val="0076604C"/>
    <w:rsid w:val="007946A6"/>
    <w:rsid w:val="007D1BC2"/>
    <w:rsid w:val="007D3BBC"/>
    <w:rsid w:val="007D7178"/>
    <w:rsid w:val="00805BE9"/>
    <w:rsid w:val="00892CE0"/>
    <w:rsid w:val="008936A8"/>
    <w:rsid w:val="008D7B2B"/>
    <w:rsid w:val="0094378F"/>
    <w:rsid w:val="0099688A"/>
    <w:rsid w:val="009B23C2"/>
    <w:rsid w:val="00A2296B"/>
    <w:rsid w:val="00A46D8A"/>
    <w:rsid w:val="00A76BE5"/>
    <w:rsid w:val="00AD36B8"/>
    <w:rsid w:val="00B73861"/>
    <w:rsid w:val="00B96258"/>
    <w:rsid w:val="00BD0E26"/>
    <w:rsid w:val="00BE4AD3"/>
    <w:rsid w:val="00C06C8B"/>
    <w:rsid w:val="00C2001D"/>
    <w:rsid w:val="00C25272"/>
    <w:rsid w:val="00C2572B"/>
    <w:rsid w:val="00C835AA"/>
    <w:rsid w:val="00C91073"/>
    <w:rsid w:val="00CD1F0D"/>
    <w:rsid w:val="00CD3BD3"/>
    <w:rsid w:val="00CE7434"/>
    <w:rsid w:val="00D10C46"/>
    <w:rsid w:val="00D2156D"/>
    <w:rsid w:val="00D23C73"/>
    <w:rsid w:val="00D361FA"/>
    <w:rsid w:val="00D370A5"/>
    <w:rsid w:val="00D463D4"/>
    <w:rsid w:val="00DB3A9C"/>
    <w:rsid w:val="00DC607D"/>
    <w:rsid w:val="00DD5A9D"/>
    <w:rsid w:val="00E004C6"/>
    <w:rsid w:val="00E0662F"/>
    <w:rsid w:val="00E41F93"/>
    <w:rsid w:val="00E42174"/>
    <w:rsid w:val="00E63BE9"/>
    <w:rsid w:val="00E668D5"/>
    <w:rsid w:val="00E82297"/>
    <w:rsid w:val="00EA1B12"/>
    <w:rsid w:val="00EA4EA8"/>
    <w:rsid w:val="00F328DD"/>
    <w:rsid w:val="00F42B8E"/>
    <w:rsid w:val="00F73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077E49"/>
    <w:pPr>
      <w:keepNext/>
      <w:keepLines/>
      <w:spacing w:before="480" w:after="120"/>
      <w:outlineLvl w:val="0"/>
    </w:pPr>
    <w:rPr>
      <w:b/>
      <w:sz w:val="48"/>
      <w:szCs w:val="48"/>
    </w:rPr>
  </w:style>
  <w:style w:type="paragraph" w:styleId="2">
    <w:name w:val="heading 2"/>
    <w:basedOn w:val="a"/>
    <w:next w:val="a"/>
    <w:uiPriority w:val="9"/>
    <w:semiHidden/>
    <w:unhideWhenUsed/>
    <w:qFormat/>
    <w:rsid w:val="00077E49"/>
    <w:pPr>
      <w:keepNext/>
      <w:keepLines/>
      <w:spacing w:before="360" w:after="80"/>
      <w:outlineLvl w:val="1"/>
    </w:pPr>
    <w:rPr>
      <w:b/>
      <w:sz w:val="36"/>
      <w:szCs w:val="36"/>
    </w:rPr>
  </w:style>
  <w:style w:type="paragraph" w:styleId="3">
    <w:name w:val="heading 3"/>
    <w:basedOn w:val="a"/>
    <w:next w:val="a"/>
    <w:uiPriority w:val="9"/>
    <w:semiHidden/>
    <w:unhideWhenUsed/>
    <w:qFormat/>
    <w:rsid w:val="00077E49"/>
    <w:pPr>
      <w:keepNext/>
      <w:keepLines/>
      <w:spacing w:before="280" w:after="80"/>
      <w:outlineLvl w:val="2"/>
    </w:pPr>
    <w:rPr>
      <w:b/>
      <w:sz w:val="28"/>
      <w:szCs w:val="28"/>
    </w:rPr>
  </w:style>
  <w:style w:type="paragraph" w:styleId="4">
    <w:name w:val="heading 4"/>
    <w:basedOn w:val="a"/>
    <w:next w:val="a"/>
    <w:uiPriority w:val="9"/>
    <w:semiHidden/>
    <w:unhideWhenUsed/>
    <w:qFormat/>
    <w:rsid w:val="00077E49"/>
    <w:pPr>
      <w:keepNext/>
      <w:keepLines/>
      <w:spacing w:before="240" w:after="40"/>
      <w:outlineLvl w:val="3"/>
    </w:pPr>
    <w:rPr>
      <w:b/>
      <w:sz w:val="24"/>
      <w:szCs w:val="24"/>
    </w:rPr>
  </w:style>
  <w:style w:type="paragraph" w:styleId="5">
    <w:name w:val="heading 5"/>
    <w:basedOn w:val="a"/>
    <w:next w:val="a"/>
    <w:uiPriority w:val="9"/>
    <w:semiHidden/>
    <w:unhideWhenUsed/>
    <w:qFormat/>
    <w:rsid w:val="00077E49"/>
    <w:pPr>
      <w:keepNext/>
      <w:keepLines/>
      <w:spacing w:before="220" w:after="40"/>
      <w:outlineLvl w:val="4"/>
    </w:pPr>
    <w:rPr>
      <w:b/>
    </w:rPr>
  </w:style>
  <w:style w:type="paragraph" w:styleId="6">
    <w:name w:val="heading 6"/>
    <w:basedOn w:val="a"/>
    <w:next w:val="a"/>
    <w:uiPriority w:val="9"/>
    <w:semiHidden/>
    <w:unhideWhenUsed/>
    <w:qFormat/>
    <w:rsid w:val="00077E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7E49"/>
  </w:style>
  <w:style w:type="table" w:customStyle="1" w:styleId="TableNormal">
    <w:name w:val="Table Normal"/>
    <w:rsid w:val="00077E49"/>
    <w:tblPr>
      <w:tblCellMar>
        <w:top w:w="0" w:type="dxa"/>
        <w:left w:w="0" w:type="dxa"/>
        <w:bottom w:w="0" w:type="dxa"/>
        <w:right w:w="0" w:type="dxa"/>
      </w:tblCellMar>
    </w:tblPr>
  </w:style>
  <w:style w:type="paragraph" w:styleId="a3">
    <w:name w:val="Title"/>
    <w:basedOn w:val="a"/>
    <w:next w:val="a"/>
    <w:uiPriority w:val="10"/>
    <w:qFormat/>
    <w:rsid w:val="00077E49"/>
    <w:pPr>
      <w:keepNext/>
      <w:keepLines/>
      <w:spacing w:before="480" w:after="120"/>
    </w:pPr>
    <w:rPr>
      <w:b/>
      <w:sz w:val="72"/>
      <w:szCs w:val="72"/>
    </w:rPr>
  </w:style>
  <w:style w:type="paragraph" w:customStyle="1" w:styleId="20">
    <w:name w:val="Обычный2"/>
    <w:rsid w:val="00077E49"/>
  </w:style>
  <w:style w:type="table" w:customStyle="1" w:styleId="TableNormal0">
    <w:name w:val="Table Normal"/>
    <w:rsid w:val="00077E49"/>
    <w:tblPr>
      <w:tblCellMar>
        <w:top w:w="0" w:type="dxa"/>
        <w:left w:w="0" w:type="dxa"/>
        <w:bottom w:w="0" w:type="dxa"/>
        <w:right w:w="0" w:type="dxa"/>
      </w:tblCellMar>
    </w:tblPr>
  </w:style>
  <w:style w:type="table" w:customStyle="1" w:styleId="TableNormal1">
    <w:name w:val="Table Normal"/>
    <w:rsid w:val="00077E49"/>
    <w:tblPr>
      <w:tblCellMar>
        <w:top w:w="0" w:type="dxa"/>
        <w:left w:w="0" w:type="dxa"/>
        <w:bottom w:w="0" w:type="dxa"/>
        <w:right w:w="0" w:type="dxa"/>
      </w:tblCellMar>
    </w:tblPr>
  </w:style>
  <w:style w:type="paragraph" w:styleId="a4">
    <w:name w:val="Subtitle"/>
    <w:basedOn w:val="20"/>
    <w:next w:val="20"/>
    <w:rsid w:val="00077E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077E4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077E49"/>
    <w:tblPr>
      <w:tblStyleRowBandSize w:val="1"/>
      <w:tblStyleColBandSize w:val="1"/>
      <w:tblCellMar>
        <w:top w:w="100" w:type="dxa"/>
        <w:left w:w="100" w:type="dxa"/>
        <w:bottom w:w="100" w:type="dxa"/>
        <w:right w:w="100" w:type="dxa"/>
      </w:tblCellMar>
    </w:tblPr>
  </w:style>
  <w:style w:type="table" w:customStyle="1" w:styleId="af0">
    <w:basedOn w:val="TableNormal1"/>
    <w:rsid w:val="00077E49"/>
    <w:tblPr>
      <w:tblStyleRowBandSize w:val="1"/>
      <w:tblStyleColBandSize w:val="1"/>
      <w:tblCellMar>
        <w:top w:w="100" w:type="dxa"/>
        <w:left w:w="100" w:type="dxa"/>
        <w:bottom w:w="100" w:type="dxa"/>
        <w:right w:w="100" w:type="dxa"/>
      </w:tblCellMar>
    </w:tblPr>
  </w:style>
  <w:style w:type="table" w:customStyle="1" w:styleId="af1">
    <w:basedOn w:val="TableNormal1"/>
    <w:rsid w:val="00077E49"/>
    <w:tblPr>
      <w:tblStyleRowBandSize w:val="1"/>
      <w:tblStyleColBandSize w:val="1"/>
      <w:tblCellMar>
        <w:top w:w="100" w:type="dxa"/>
        <w:left w:w="100" w:type="dxa"/>
        <w:bottom w:w="100" w:type="dxa"/>
        <w:right w:w="100" w:type="dxa"/>
      </w:tblCellMar>
    </w:tblPr>
  </w:style>
  <w:style w:type="table" w:customStyle="1" w:styleId="af2">
    <w:basedOn w:val="TableNormal1"/>
    <w:rsid w:val="00077E49"/>
    <w:tblPr>
      <w:tblStyleRowBandSize w:val="1"/>
      <w:tblStyleColBandSize w:val="1"/>
      <w:tblCellMar>
        <w:top w:w="100" w:type="dxa"/>
        <w:left w:w="100" w:type="dxa"/>
        <w:bottom w:w="100" w:type="dxa"/>
        <w:right w:w="100" w:type="dxa"/>
      </w:tblCellMar>
    </w:tblPr>
  </w:style>
  <w:style w:type="table" w:customStyle="1" w:styleId="af3">
    <w:basedOn w:val="TableNormal1"/>
    <w:rsid w:val="00077E49"/>
    <w:tblPr>
      <w:tblStyleRowBandSize w:val="1"/>
      <w:tblStyleColBandSize w:val="1"/>
      <w:tblCellMar>
        <w:top w:w="100" w:type="dxa"/>
        <w:left w:w="100" w:type="dxa"/>
        <w:bottom w:w="100" w:type="dxa"/>
        <w:right w:w="100" w:type="dxa"/>
      </w:tblCellMar>
    </w:tblPr>
  </w:style>
  <w:style w:type="table" w:customStyle="1" w:styleId="af4">
    <w:basedOn w:val="TableNormal1"/>
    <w:rsid w:val="00077E49"/>
    <w:tblPr>
      <w:tblStyleRowBandSize w:val="1"/>
      <w:tblStyleColBandSize w:val="1"/>
      <w:tblCellMar>
        <w:top w:w="100" w:type="dxa"/>
        <w:left w:w="100" w:type="dxa"/>
        <w:bottom w:w="100" w:type="dxa"/>
        <w:right w:w="100" w:type="dxa"/>
      </w:tblCellMar>
    </w:tblPr>
  </w:style>
  <w:style w:type="paragraph" w:customStyle="1" w:styleId="docdata">
    <w:name w:val="docdata"/>
    <w:aliases w:val="docy,v5,3147,baiaagaaboqcaaadhaoaaawscgaaaaaaaaaaaaaaaaaaaaaaaaaaaaaaaaaaaaaaaaaaaaaaaaaaaaaaaaaaaaaaaaaaaaaaaaaaaaaaaaaaaaaaaaaaaaaaaaaaaaaaaaaaaaaaaaaaaaaaaaaaaaaaaaaaaaaaaaaaaaaaaaaaaaaaaaaaaaaaaaaaaaaaaaaaaaaaaaaaaaaaaaaaaaaaaaaaaaaaaaaaaaaa"/>
    <w:basedOn w:val="a"/>
    <w:rsid w:val="009B23C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914011">
      <w:bodyDiv w:val="1"/>
      <w:marLeft w:val="0"/>
      <w:marRight w:val="0"/>
      <w:marTop w:val="0"/>
      <w:marBottom w:val="0"/>
      <w:divBdr>
        <w:top w:val="none" w:sz="0" w:space="0" w:color="auto"/>
        <w:left w:val="none" w:sz="0" w:space="0" w:color="auto"/>
        <w:bottom w:val="none" w:sz="0" w:space="0" w:color="auto"/>
        <w:right w:val="none" w:sz="0" w:space="0" w:color="auto"/>
      </w:divBdr>
    </w:div>
    <w:div w:id="290864066">
      <w:bodyDiv w:val="1"/>
      <w:marLeft w:val="0"/>
      <w:marRight w:val="0"/>
      <w:marTop w:val="0"/>
      <w:marBottom w:val="0"/>
      <w:divBdr>
        <w:top w:val="none" w:sz="0" w:space="0" w:color="auto"/>
        <w:left w:val="none" w:sz="0" w:space="0" w:color="auto"/>
        <w:bottom w:val="none" w:sz="0" w:space="0" w:color="auto"/>
        <w:right w:val="none" w:sz="0" w:space="0" w:color="auto"/>
      </w:divBdr>
    </w:div>
    <w:div w:id="341206040">
      <w:bodyDiv w:val="1"/>
      <w:marLeft w:val="0"/>
      <w:marRight w:val="0"/>
      <w:marTop w:val="0"/>
      <w:marBottom w:val="0"/>
      <w:divBdr>
        <w:top w:val="none" w:sz="0" w:space="0" w:color="auto"/>
        <w:left w:val="none" w:sz="0" w:space="0" w:color="auto"/>
        <w:bottom w:val="none" w:sz="0" w:space="0" w:color="auto"/>
        <w:right w:val="none" w:sz="0" w:space="0" w:color="auto"/>
      </w:divBdr>
    </w:div>
    <w:div w:id="478572026">
      <w:bodyDiv w:val="1"/>
      <w:marLeft w:val="0"/>
      <w:marRight w:val="0"/>
      <w:marTop w:val="0"/>
      <w:marBottom w:val="0"/>
      <w:divBdr>
        <w:top w:val="none" w:sz="0" w:space="0" w:color="auto"/>
        <w:left w:val="none" w:sz="0" w:space="0" w:color="auto"/>
        <w:bottom w:val="none" w:sz="0" w:space="0" w:color="auto"/>
        <w:right w:val="none" w:sz="0" w:space="0" w:color="auto"/>
      </w:divBdr>
    </w:div>
    <w:div w:id="560211671">
      <w:bodyDiv w:val="1"/>
      <w:marLeft w:val="0"/>
      <w:marRight w:val="0"/>
      <w:marTop w:val="0"/>
      <w:marBottom w:val="0"/>
      <w:divBdr>
        <w:top w:val="none" w:sz="0" w:space="0" w:color="auto"/>
        <w:left w:val="none" w:sz="0" w:space="0" w:color="auto"/>
        <w:bottom w:val="none" w:sz="0" w:space="0" w:color="auto"/>
        <w:right w:val="none" w:sz="0" w:space="0" w:color="auto"/>
      </w:divBdr>
    </w:div>
    <w:div w:id="1066224332">
      <w:bodyDiv w:val="1"/>
      <w:marLeft w:val="0"/>
      <w:marRight w:val="0"/>
      <w:marTop w:val="0"/>
      <w:marBottom w:val="0"/>
      <w:divBdr>
        <w:top w:val="none" w:sz="0" w:space="0" w:color="auto"/>
        <w:left w:val="none" w:sz="0" w:space="0" w:color="auto"/>
        <w:bottom w:val="none" w:sz="0" w:space="0" w:color="auto"/>
        <w:right w:val="none" w:sz="0" w:space="0" w:color="auto"/>
      </w:divBdr>
    </w:div>
    <w:div w:id="1193492011">
      <w:bodyDiv w:val="1"/>
      <w:marLeft w:val="0"/>
      <w:marRight w:val="0"/>
      <w:marTop w:val="0"/>
      <w:marBottom w:val="0"/>
      <w:divBdr>
        <w:top w:val="none" w:sz="0" w:space="0" w:color="auto"/>
        <w:left w:val="none" w:sz="0" w:space="0" w:color="auto"/>
        <w:bottom w:val="none" w:sz="0" w:space="0" w:color="auto"/>
        <w:right w:val="none" w:sz="0" w:space="0" w:color="auto"/>
      </w:divBdr>
    </w:div>
    <w:div w:id="1641039199">
      <w:bodyDiv w:val="1"/>
      <w:marLeft w:val="0"/>
      <w:marRight w:val="0"/>
      <w:marTop w:val="0"/>
      <w:marBottom w:val="0"/>
      <w:divBdr>
        <w:top w:val="none" w:sz="0" w:space="0" w:color="auto"/>
        <w:left w:val="none" w:sz="0" w:space="0" w:color="auto"/>
        <w:bottom w:val="none" w:sz="0" w:space="0" w:color="auto"/>
        <w:right w:val="none" w:sz="0" w:space="0" w:color="auto"/>
      </w:divBdr>
    </w:div>
    <w:div w:id="1657489153">
      <w:bodyDiv w:val="1"/>
      <w:marLeft w:val="0"/>
      <w:marRight w:val="0"/>
      <w:marTop w:val="0"/>
      <w:marBottom w:val="0"/>
      <w:divBdr>
        <w:top w:val="none" w:sz="0" w:space="0" w:color="auto"/>
        <w:left w:val="none" w:sz="0" w:space="0" w:color="auto"/>
        <w:bottom w:val="none" w:sz="0" w:space="0" w:color="auto"/>
        <w:right w:val="none" w:sz="0" w:space="0" w:color="auto"/>
      </w:divBdr>
    </w:div>
    <w:div w:id="21458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EC2679-4033-427B-9B12-9DA1183A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2024-02-22T12:14:00Z</cp:lastPrinted>
  <dcterms:created xsi:type="dcterms:W3CDTF">2024-02-21T12:01:00Z</dcterms:created>
  <dcterms:modified xsi:type="dcterms:W3CDTF">2024-03-04T11:41:00Z</dcterms:modified>
</cp:coreProperties>
</file>