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>ОГОЛОШЕННЯ</w:t>
      </w:r>
    </w:p>
    <w:p>
      <w:pPr>
        <w:shd w:val="clear" w:color="auto" w:fill="FFFFFF"/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>про проведення спрощеної закупівлі через систему електронних закупівель</w:t>
      </w:r>
    </w:p>
    <w:p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</w:pPr>
    </w:p>
    <w:p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1.Замовник:</w:t>
      </w:r>
    </w:p>
    <w:p>
      <w:pPr>
        <w:pStyle w:val="3"/>
        <w:spacing w:before="0" w:after="0"/>
        <w:jc w:val="both"/>
        <w:rPr>
          <w:b w:val="0"/>
          <w:bCs/>
          <w:color w:val="000000"/>
          <w:sz w:val="27"/>
          <w:szCs w:val="27"/>
          <w:lang w:val="uk-UA"/>
        </w:rPr>
      </w:pPr>
      <w:r>
        <w:rPr>
          <w:lang w:val="uk-UA"/>
        </w:rPr>
        <w:t xml:space="preserve">1.1. </w:t>
      </w:r>
      <w:r>
        <w:rPr>
          <w:b/>
          <w:bCs/>
          <w:lang w:val="uk-UA"/>
        </w:rPr>
        <w:t xml:space="preserve">Найменування: </w:t>
      </w:r>
      <w:r>
        <w:rPr>
          <w:b w:val="0"/>
          <w:bCs/>
          <w:color w:val="000000"/>
          <w:szCs w:val="27"/>
          <w:lang w:val="uk-UA"/>
        </w:rPr>
        <w:t xml:space="preserve">Комунальне некомерційне підприємство </w:t>
      </w:r>
      <w:r>
        <w:rPr>
          <w:rFonts w:hint="default"/>
          <w:b w:val="0"/>
          <w:bCs/>
          <w:color w:val="000000"/>
          <w:szCs w:val="27"/>
          <w:lang w:val="uk-UA"/>
        </w:rPr>
        <w:t>“Старосинявський центр первинної медико-санітарної допомоги”, далі по тексту скорочена назва Підприємства, -  КНП “Старосинявський ЦПМСД”</w:t>
      </w:r>
      <w:r>
        <w:rPr>
          <w:b w:val="0"/>
          <w:bCs/>
          <w:color w:val="000000"/>
          <w:szCs w:val="27"/>
          <w:lang w:val="uk-UA"/>
        </w:rPr>
        <w:t>.</w:t>
      </w:r>
    </w:p>
    <w:p>
      <w:pPr>
        <w:shd w:val="clear" w:color="auto" w:fill="FFFFFF"/>
        <w:tabs>
          <w:tab w:val="left" w:pos="1140"/>
        </w:tabs>
        <w:spacing w:after="0" w:line="240" w:lineRule="auto"/>
        <w:ind w:left="120" w:hanging="120" w:hangingChars="50"/>
        <w:jc w:val="both"/>
        <w:rPr>
          <w:rFonts w:ascii="Times New Roman" w:hAnsi="Times New Roman" w:cs="Times New Roman"/>
          <w:b w:val="0"/>
          <w:bCs/>
          <w:sz w:val="24"/>
          <w:szCs w:val="24"/>
          <w:u w:val="non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Місцезнаходження: </w:t>
      </w:r>
      <w:r>
        <w:rPr>
          <w:rFonts w:ascii="Times New Roman" w:hAnsi="Times New Roman" w:cs="Times New Roman"/>
          <w:b w:val="0"/>
          <w:bCs/>
          <w:sz w:val="24"/>
          <w:szCs w:val="24"/>
          <w:u w:val="none"/>
          <w:lang w:val="uk-UA"/>
        </w:rPr>
        <w:t>31400, Україна, Хмельницька область, Хмельницький район,</w:t>
      </w:r>
    </w:p>
    <w:p>
      <w:pPr>
        <w:shd w:val="clear" w:color="auto" w:fill="FFFFFF"/>
        <w:tabs>
          <w:tab w:val="left" w:pos="1140"/>
        </w:tabs>
        <w:spacing w:after="0" w:line="240" w:lineRule="auto"/>
        <w:ind w:left="120" w:hanging="120" w:hangingChars="50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none"/>
          <w:lang w:val="uk-U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u w:val="none"/>
          <w:lang w:val="uk-UA"/>
        </w:rPr>
        <w:t>смт. Стара Синява, вулиця Грушевського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none"/>
          <w:lang w:val="uk-UA"/>
        </w:rPr>
        <w:t>, будинок 15.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  <w:u w:val="non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Код за ЄДРПОУ: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none"/>
          <w:lang w:val="uk-UA"/>
        </w:rPr>
        <w:t>37329345.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Категорія: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i/>
          <w:szCs w:val="20"/>
          <w:shd w:val="clear" w:color="auto" w:fill="FFFFFF"/>
          <w:lang w:val="uk-UA"/>
        </w:rPr>
        <w:t>у відповідності до пункту 3 частини четвертої ст. 2 Закону: підприємства, установи, організації, зазначені у пункті 3 частини першої ст. 2 Закону (юридичні особи, які є підприємствами, установами, організаціями (крім тих, які визначені у пунктах 1 і 2 частини першої статті 2 Закону)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>
      <w:pPr>
        <w:spacing w:after="0" w:line="240" w:lineRule="auto"/>
        <w:jc w:val="both"/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1.5.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Посадові особи замовника,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  <w:r>
        <w:rPr>
          <w:rFonts w:ascii="Times New Roman" w:hAnsi="Times New Roman" w:cs="Times New Roman"/>
          <w:color w:val="000000"/>
          <w:sz w:val="24"/>
          <w:szCs w:val="27"/>
          <w:lang w:val="uk-UA"/>
        </w:rPr>
        <w:t xml:space="preserve">Яловіцька Леся Олександрівна – юрисконсульт підприємства, тел. +380681281517, </w:t>
      </w:r>
      <w:r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</w:rPr>
        <w:instrText xml:space="preserve"> HYPERLINK "mailto:sunyva.centr01@ukr.net" </w:instrText>
      </w:r>
      <w:r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</w:rPr>
        <w:fldChar w:fldCharType="separate"/>
      </w:r>
      <w:r>
        <w:rPr>
          <w:rStyle w:val="5"/>
          <w:rFonts w:ascii="Arial" w:hAnsi="Arial" w:eastAsia="SimSun" w:cs="Arial"/>
          <w:b/>
          <w:i w:val="0"/>
          <w:caps w:val="0"/>
          <w:spacing w:val="0"/>
          <w:sz w:val="18"/>
          <w:szCs w:val="18"/>
          <w:shd w:val="clear" w:fill="FFFFFF"/>
        </w:rPr>
        <w:t>sunyva.centr01@ukr.net</w:t>
      </w:r>
      <w:r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</w:rPr>
        <w:fldChar w:fldCharType="end"/>
      </w:r>
      <w:r>
        <w:rPr>
          <w:rFonts w:ascii="Arial" w:hAnsi="Arial" w:eastAsia="SimSun" w:cs="Arial"/>
          <w:b/>
          <w:i w:val="0"/>
          <w:caps w:val="0"/>
          <w:color w:val="343840"/>
          <w:spacing w:val="0"/>
          <w:sz w:val="18"/>
          <w:szCs w:val="18"/>
          <w:shd w:val="clear" w:fill="FFFFFF"/>
          <w:lang w:val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 w:eastAsia="en-US"/>
        </w:rPr>
        <w:t>2. Інформація про предмет закупівлі та кількість товарів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Calibri"/>
          <w:lang w:val="uk-UA" w:eastAsia="en-US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.1. Назва предмету закупівлі: Закупівля згідно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ДК 021:2015 код 09100000-0 Паливо (Дизельне паливо ДСТУ 7688:2015 по талонах - 815л., Бензин А-95 ДСТУ 7687:2015 по талонах 885 л., Газове паливо ДСТУ 4047:2001 по талонах -1540л.)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highlight w:val="none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2.2. </w:t>
      </w:r>
      <w:r>
        <w:rPr>
          <w:rFonts w:ascii="Times New Roman" w:hAnsi="Times New Roman" w:cs="Times New Roman"/>
          <w:sz w:val="24"/>
          <w:szCs w:val="24"/>
          <w:highlight w:val="none"/>
          <w:lang w:val="uk-UA" w:eastAsia="en-US"/>
        </w:rPr>
        <w:t>Технічні (якісні) вимоги до товару: викладено в Додатку № 1 до оголошення.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uk-UA"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Місце поставки товару: </w:t>
      </w:r>
      <w:r>
        <w:rPr>
          <w:rFonts w:ascii="Times New Roman" w:hAnsi="Times New Roman" w:eastAsia="Calibri" w:cs="Times New Roman"/>
          <w:sz w:val="24"/>
          <w:szCs w:val="24"/>
          <w:lang w:val="uk-UA" w:eastAsia="en-US"/>
        </w:rPr>
        <w:t xml:space="preserve">КНП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/>
        </w:rPr>
        <w:t>“Старосинявський ЦПМСД” та його структурні підрозділи.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  <w:u w:val="single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Термін поставки товару: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Постачальник здійснює поставку товару Покупцеві протягом 14-ти робочих днів з моменту підписання договору</w:t>
      </w:r>
      <w:r>
        <w:rPr>
          <w:rFonts w:ascii="Times New Roman" w:hAnsi="Times New Roman" w:cs="Times New Roman"/>
          <w:sz w:val="24"/>
          <w:szCs w:val="24"/>
          <w:highlight w:val="none"/>
          <w:lang w:val="uk-UA" w:eastAsia="en-US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Розрахунки за поставлений товар здійснюється шляхом перерахування грошових коштів на розрахунковий рахунок Продавця за фактично поставлений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товар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протягом </w:t>
      </w:r>
      <w:r>
        <w:rPr>
          <w:rFonts w:ascii="Times New Roman" w:hAnsi="Times New Roman" w:cs="Times New Roman"/>
          <w:sz w:val="24"/>
          <w:szCs w:val="24"/>
          <w:highlight w:val="none"/>
          <w:lang w:val="uk-UA" w:eastAsia="uk-UA"/>
        </w:rPr>
        <w:t xml:space="preserve">20 (двадцять) 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>банківських днів</w:t>
      </w:r>
      <w:r>
        <w:rPr>
          <w:rFonts w:ascii="Times New Roman" w:hAnsi="Times New Roman" w:cs="Times New Roman"/>
          <w:sz w:val="24"/>
          <w:szCs w:val="24"/>
          <w:highlight w:val="none"/>
          <w:lang w:val="uk-UA" w:eastAsia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моменту підписання відповідного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акту.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none"/>
          <w:u w:val="single"/>
          <w:lang w:val="uk-UA"/>
        </w:rPr>
        <w:t xml:space="preserve">150 000,00 грн з ПДВ.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 інформації про закупівлю: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менше трьох робочих днів з дня оприлюднення оголошення про проведення спрощеної закупівлі в електронній системі закупівель.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менше ніж два робочі дні з дня закінчення періоду уточнення інформації про закупівлю.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9.</w:t>
      </w:r>
      <w:r>
        <w:rPr>
          <w:lang w:val="uk-UA"/>
        </w:rPr>
        <w:t xml:space="preserve"> </w:t>
      </w:r>
      <w:r>
        <w:rPr>
          <w:b/>
          <w:lang w:val="uk-UA"/>
        </w:rPr>
        <w:t>Перелік критеріїв та методика оцінки пропозицій із зазначенням питомої ваги критеріїв: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Ціна – 100%.</w:t>
      </w:r>
      <w:r>
        <w:rPr>
          <w:lang w:val="uk-UA"/>
        </w:rPr>
        <w:t xml:space="preserve"> Найбільш економічною вигідною пропозицією буде вважатися пропозиція з найнижчою ціною. </w:t>
      </w:r>
      <w:r>
        <w:rPr>
          <w:shd w:val="clear" w:color="auto" w:fill="FFFFFF"/>
          <w:lang w:val="uk-UA"/>
        </w:rPr>
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</w:t>
      </w:r>
      <w:r>
        <w:rPr>
          <w:lang w:val="uk-UA"/>
        </w:rPr>
        <w:t>Найбільш економічною вигідною пропозицією буде вважатися пропозиція з найнижчою ціною.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10. Розмір надання забезпечення пропозицій учасників (якщо замовник вимагає його надати):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/>
        </w:rPr>
        <w:t>не вимагається.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11. Розмір та умови надання забезпечення виконання договору про закупівлю: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не вимагається.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Розмір мінімального кроку пониження ціни під час електронного аукціону: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0,5% очікуваної вартості закупівлі.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Джерело фінансування : </w:t>
      </w:r>
      <w:r>
        <w:rPr>
          <w:rFonts w:ascii="Times New Roman" w:hAnsi="Times New Roman" w:cs="Times New Roman"/>
          <w:sz w:val="24"/>
          <w:szCs w:val="24"/>
          <w:lang w:val="uk-UA"/>
        </w:rPr>
        <w:t>Кошти НСЗУ.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 Інші умови.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УВАГА!!!</w:t>
      </w:r>
      <w:bookmarkStart w:id="0" w:name="_Hlk52459287"/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скан-копій через електронну систему закупівель. Пропозиція учасника має відповідати ряду вимог: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1) документи мають бути чіткими та розбірливими для читання;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2) якщо у складі пропозиції є хоча б один сканований документ, потрібно накласти удосконалений електронний підпис (УЕП) або кваліфікований електронний підпис (КЕП) на пропозицію;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УЕП або КЕП. Замовник перевіряє УЕП або КЕП учасника на сайті центрального засвідчувального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</w:t>
      </w:r>
      <w:bookmarkEnd w:id="0"/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Інша інформація: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Учасник повинен забезпечити заправку пального: Дизельного палива, газового палива та бензину  по талонах, які повинні бути дійсними за ціною та по кількості літрів в межах смт. Стара Синява Хмельницького району, Хмельницької області з наявнністю хоча б однієї АЗС, розташованої не більше 4 км від місцезнаходження (юридична і фактична адреса) Замовника: 31400, Україна, Хмельницька обл., Хмельницький р-н, смт. Стара Синява, вул. Грушевського, 15.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за результатами здійснення закупівлі укладається договір (проєкт договору додається), який набирає чинності  з дня його украдання і діє до 31.12.2022р.;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- технічні (якісні вимоги до товару та спосіб їх підтвердження: учасник повинен надати в електронному (сканованому) вигляді у форматі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pdf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 (або іншому) в складі своєї пропозиції документи згідно з Додатком 1 до Оголошення про проведення спрощеної закупівлі через систему електронних закупівель щодо підтвердження вимог Замовника;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учасник повинен  надати в електронному (сканованому) вигляді у складі своєї пропозиції долкументи згідно Додатку №2 до Оголошення про проведення спрощеної закупівлі через систему електронних закупівель;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цінова пропозиція Учасника, оформлюється у відповідності до вимог Додатку №3 до Оголошення про проведення спрощеної закупівлі через систему електронних закупівель та надається у складі своєї пропозиції;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документи або їх копії, що підтверджують відповідність вимогам до кваліфікації учасників, в паперовому вигляді, завірені підписом та печаткою учасника (за наявності), надаються Замовнику Переможцем.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20" w:firstLineChars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Додатки до Оголошення: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Додаток №1 - Технічні, якісні та інші характеристики предмету закупівлі.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Додаток №2 - Вимоги до кваліфікації учасників та спосіб їх= підтвердження.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Додаток №3 - Цінова пропозиція.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Додаток №4 - Проєкт Договору та специфікація.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>
      <w:pPr>
        <w:spacing w:after="0" w:line="240" w:lineRule="auto"/>
        <w:ind w:left="792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Додаток № 1</w:t>
      </w:r>
    </w:p>
    <w:p>
      <w:pPr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 оголошення про проведення спрощеної закупівлі</w:t>
      </w:r>
    </w:p>
    <w:p>
      <w:pPr>
        <w:wordWrap w:val="0"/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через систему електронних закупівель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left="288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Технічні (якісні) вимоги до Товару та способи їх підтвердження</w:t>
      </w:r>
    </w:p>
    <w:p>
      <w:p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tbl>
      <w:tblPr>
        <w:tblStyle w:val="7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572"/>
        <w:gridCol w:w="2056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</w:p>
        </w:tc>
        <w:tc>
          <w:tcPr>
            <w:tcW w:w="3572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Назва товару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Код ДК 021:2015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Одиниця виміру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Кількість,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1.</w:t>
            </w:r>
          </w:p>
        </w:tc>
        <w:tc>
          <w:tcPr>
            <w:tcW w:w="3572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Дизельне паливо  ДСТУ 7688:2015 по талонах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09100000-0</w:t>
            </w:r>
          </w:p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Паливо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л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2.</w:t>
            </w:r>
          </w:p>
        </w:tc>
        <w:tc>
          <w:tcPr>
            <w:tcW w:w="3572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Бензин А-95 ДСТУ 7687:2015 по талонах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09100000-0</w:t>
            </w:r>
          </w:p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Паливо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л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3.</w:t>
            </w:r>
          </w:p>
        </w:tc>
        <w:tc>
          <w:tcPr>
            <w:tcW w:w="3572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Газове паливо ДСТУ 4047:2001 по талонах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09100000-0</w:t>
            </w:r>
          </w:p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Паливо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л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1540</w:t>
            </w:r>
          </w:p>
        </w:tc>
      </w:tr>
    </w:tbl>
    <w:p>
      <w:p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Якість товару повинна відповідати державним стандартам, технічним умовам згідно чинного законодавства, іншій технічній документації на вищезазначений товар.</w:t>
      </w: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Учасник повинен підтвердити якість товару, що поставляється, товаросупровідними документами, які надаються разом з товаром (товарно-транспортна, видаткова та  податкова накладні, сертифікат відповідності, паспорт якості оформлений заводом-виробником) та нести гарантійні зобов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язання.</w:t>
      </w: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  Учасник повинен надати інформацію про мережу АЗС в межах смт. Стара Синява Хмельницького р-ну Хмельницької обл., на яких буде здійснюватися заправка по талонах (вказати адреси АЗС та ПІБ, номер телефону контактної особи).</w:t>
      </w: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Учасник повинен надати  копії сертифікатів відповідності та паспорт якості на Дизельне паливо, Бензин та Газове паливо. У накладній неодмінно має бути зазначено повну назву товару, кількість та одиниці виміру.</w:t>
      </w: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 Учасник повинен забезпечити запрвку Дизельного палива, Бензину та Газового палива по талонах, які повинні бути дійсними за ціною та по кількості літрів в межах смт. Стара Синява, Хмельницького р-ну, Хмельницької обл з наявністю хоча б однієї АЗС, розташованої не більше 4 км від юридичної та фактичної адреси Замовника: 31400, Хмельницька обл., Хмельницький р-н, смт. Стара Синява, вул. Грушевського, 15.</w:t>
      </w: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-Інформаційна довідка про наявність АЗС Учасника, які розташовані в смт. Стара Синява Хмельницької обл.:</w:t>
      </w:r>
    </w:p>
    <w:tbl>
      <w:tblPr>
        <w:tblStyle w:val="7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056"/>
        <w:gridCol w:w="2056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uk-UA"/>
              </w:rPr>
              <w:t>Види палива, які застосовуються при заправці автомобілів Замовника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Адреса місця розташування транспорту Замовника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Відстань від АЗС до місця розташування транспорту Замовника (км)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Адреса АЗС, її назва (ПІБ, номер телефону контактної особи)</w:t>
            </w: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  <w:t>Зазначити про АЗС: власна, орендована або наявність партнерських договорів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</w:p>
        </w:tc>
        <w:tc>
          <w:tcPr>
            <w:tcW w:w="2056" w:type="dxa"/>
          </w:tcPr>
          <w:p>
            <w:pPr>
              <w:wordWrap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  <w:lang w:val="uk-UA"/>
              </w:rPr>
            </w:pPr>
          </w:p>
        </w:tc>
      </w:tr>
    </w:tbl>
    <w:p>
      <w:pPr>
        <w:wordWrap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У разі використання АЗС, які не є власністю учасника, - надати завірені належним чином  сканкопії діючих договорів оренди або партнерських договорів, або інші правочини з власником АЗС, які планується 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shd w:val="clear" w:fill="FFFFFF"/>
          <w:lang w:val="uk" w:eastAsia="zh-CN" w:bidi="ar"/>
        </w:rPr>
        <w:t xml:space="preserve">залучити для заправки автомобілів замовника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ru" w:eastAsia="zh-CN" w:bidi="ar"/>
        </w:rPr>
        <w:t>та лист погодження на ім’я Замовника про гарантування безумовного, цілодобового та безперебійного здійснення відпуску пального (предмету закупівлі) на АЗС/АЗК орендованих, АЗС/АЗК партнера Учасника протягом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  <w:t xml:space="preserve"> 2022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ru" w:eastAsia="zh-CN" w:bidi="ar"/>
        </w:rPr>
        <w:t xml:space="preserve"> р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-UA" w:eastAsia="zh-CN" w:bidi="ar"/>
        </w:rPr>
        <w:t>.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ru" w:eastAsia="zh-CN" w:bidi="ar"/>
        </w:rPr>
        <w:t>, за талонами зразка Учасника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  <w:t>. В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ru" w:eastAsia="zh-CN" w:bidi="ar"/>
        </w:rPr>
        <w:t xml:space="preserve">казати адреси та контактні телефони АЗС,  режим роботи орендованих, партнерських АЗС.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  <w:br w:type="page"/>
      </w:r>
    </w:p>
    <w:p>
      <w:pPr>
        <w:spacing w:after="0" w:line="240" w:lineRule="auto"/>
        <w:ind w:left="792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2</w:t>
      </w:r>
    </w:p>
    <w:p>
      <w:pPr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 оголошення про проведення спрощеної закупівлі</w:t>
      </w:r>
    </w:p>
    <w:p>
      <w:pPr>
        <w:wordWrap w:val="0"/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через систему електронних закупівель</w:t>
      </w:r>
    </w:p>
    <w:p>
      <w:p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pStyle w:val="8"/>
        <w:jc w:val="right"/>
        <w:rPr>
          <w:lang w:val="uk-UA"/>
        </w:rPr>
      </w:pPr>
    </w:p>
    <w:p>
      <w:pPr>
        <w:pStyle w:val="8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Вимоги до кваліфікації учасників та спосіб їх підтвердження: учасник повинен надати в електронному (сканованому) вигляді наступні документи:</w:t>
      </w:r>
    </w:p>
    <w:p>
      <w:pPr>
        <w:pStyle w:val="8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8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Учасник повинен надати повинен надати в електронному (сканованованому) вигляді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 xml:space="preserve">в складі своєї пропозиції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наступні документи:</w:t>
      </w:r>
    </w:p>
    <w:p>
      <w:pPr>
        <w:pStyle w:val="8"/>
        <w:jc w:val="center"/>
        <w:rPr>
          <w:b/>
          <w:sz w:val="28"/>
          <w:szCs w:val="28"/>
          <w:lang w:val="uk-UA"/>
        </w:rPr>
      </w:pP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завірену підписом та печаткою учасника довідку, яка містить контактні дані/інформацію компанії – учасника (з зазначенням реквізитів учасника: назви, коду ЄДРПОУ, місце знаходження, поштової адреси, телефону, електронної адреси; відомостей про контактну особу (прізвище, імя, по-батькові, посада, контактний телефонен);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 xml:space="preserve"> копія виписки або витягу (або Свідоцтва), або роздруківка з відкритих реєстрів з Єдиного державного реєстру юридичних осіб та фізичних осіб – підприємців;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копія паспорту (для фізичних осіб);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цінову пропозицію (оригінал, з цінами після аукціону);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копію свідоцтва про реєстрацію платника ПДВ або витягу з реєстру платників ПДВ (якщо учасник є платником ПДВ) або платника єдиного податку, або витяг з реєстру платників єдиного податку (якщо учасник є платником єдиного податку);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копію документів, що підтверджують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або зареєстровані ТУ на виготовлення товару у Держстандарті, тощо), встановлений діючим законодавством на запропоновану продукцію або обгрунтування його відсутності (не підлягає обов'язковій сертифікації тощо);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>лист-згоду на здійснення обробки персональних даних  згідно з вимогами Закону України «Про захист персональних» від 01.06.2010 №2297-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  <w:t>VI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 xml:space="preserve"> службової (посадової) особи або представника учасника процедури закупівлі, які будуть підписувати пропозицію електронних торгів та/або договір, укладений за результатами торгів;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t xml:space="preserve">            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  <w:br w:type="page"/>
      </w:r>
    </w:p>
    <w:p>
      <w:pPr>
        <w:spacing w:after="0" w:line="240" w:lineRule="auto"/>
        <w:ind w:left="1539" w:leftChars="0" w:hanging="1539" w:hangingChars="641"/>
        <w:contextualSpacing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Додаток 3</w:t>
      </w:r>
    </w:p>
    <w:p>
      <w:pPr>
        <w:spacing w:after="0" w:line="240" w:lineRule="auto"/>
        <w:ind w:left="1538" w:leftChars="0" w:hanging="1538" w:hangingChars="641"/>
        <w:contextualSpacing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spacing w:after="0" w:line="240" w:lineRule="auto"/>
        <w:ind w:left="1538" w:leftChars="0" w:hanging="1538" w:hangingChars="641"/>
        <w:contextualSpacing/>
        <w:jc w:val="right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  <w:t>о оголошення про проведення</w:t>
      </w:r>
    </w:p>
    <w:p>
      <w:pPr>
        <w:spacing w:after="0" w:line="240" w:lineRule="auto"/>
        <w:ind w:left="1538" w:leftChars="0" w:hanging="1538" w:hangingChars="641"/>
        <w:contextualSpacing/>
        <w:jc w:val="right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  <w:t xml:space="preserve"> спрощеної закупівлі</w:t>
      </w:r>
    </w:p>
    <w:p>
      <w:pPr>
        <w:spacing w:after="0" w:line="240" w:lineRule="auto"/>
        <w:ind w:left="1538" w:leftChars="0" w:hanging="1538" w:hangingChars="641"/>
        <w:contextualSpacing/>
        <w:jc w:val="right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/>
        </w:rPr>
        <w:t>через систему електронних закупівель</w:t>
      </w:r>
    </w:p>
    <w:p>
      <w:pPr>
        <w:pStyle w:val="8"/>
        <w:jc w:val="right"/>
        <w:rPr>
          <w:lang w:val="uk-UA"/>
        </w:rPr>
      </w:pPr>
    </w:p>
    <w:p>
      <w:pPr>
        <w:pStyle w:val="8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uk-UA"/>
        </w:rPr>
        <w:t>Форма пропозиції, яка подається Учасником на фірмовому бланку (у разі наявності) Учасник не повинен відступати від даної форми</w:t>
      </w:r>
    </w:p>
    <w:p>
      <w:pPr>
        <w:pStyle w:val="8"/>
        <w:jc w:val="center"/>
        <w:rPr>
          <w:sz w:val="28"/>
          <w:szCs w:val="28"/>
          <w:lang w:val="uk-UA"/>
        </w:rPr>
      </w:pPr>
    </w:p>
    <w:p>
      <w:pPr>
        <w:pStyle w:val="8"/>
        <w:jc w:val="center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ЦІНОВА ПРОПОЗИЦІЯ №___ від ________________</w:t>
      </w:r>
    </w:p>
    <w:p>
      <w:pPr>
        <w:pStyle w:val="8"/>
        <w:jc w:val="center"/>
        <w:rPr>
          <w:b/>
          <w:sz w:val="28"/>
          <w:szCs w:val="28"/>
          <w:lang w:val="uk-UA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Ми, (назва Учасника торгів), подаємо свою пропозицію щодо участі у торгах на закупівлю 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згідно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ДК 021:2015 код 09100000-0 Паливо (Дизельне паливо ДСТУ 7688:2015 по талонах - 815л., Бензин А-95 ДСТУ 7687:2015 по талонах  - 885 л., Газове паливо ДСТУ 4047:2001 по талонах - 1540л.)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згідно із технічними та іншими вимогами, що запропоновані Замовником торгів – Комунальне некомерційне підприємство  «Старосинявський центр первинної медико-санітарної допомоги».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   Вивчивши інформацію про характер і необхідні технічні та якісні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tbl>
      <w:tblPr>
        <w:tblStyle w:val="7"/>
        <w:tblW w:w="10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595"/>
        <w:gridCol w:w="1595"/>
        <w:gridCol w:w="15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 без ПДВ</w:t>
            </w: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Сума без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Дизельне паливо – ДСТУ 7688:2015 по талонах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Бензин А-95 ДСТУ 7687:2015 по талонах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885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Газове паливо – ДСТУ 4047:2001 по талонах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95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7" w:type="dxa"/>
            <w:gridSpan w:val="5"/>
          </w:tcPr>
          <w:p>
            <w:pPr>
              <w:pStyle w:val="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159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7" w:type="dxa"/>
            <w:gridSpan w:val="5"/>
          </w:tcPr>
          <w:p>
            <w:pPr>
              <w:pStyle w:val="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9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7" w:type="dxa"/>
            <w:gridSpan w:val="5"/>
          </w:tcPr>
          <w:p>
            <w:pPr>
              <w:pStyle w:val="8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59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3" w:type="dxa"/>
            <w:gridSpan w:val="6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Цінова пропозиція на закупівлю товару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ДК 021:2015 код 09100000-0 Паливо (Дизельне паливо ДСТУ 7688:2015 по талонах - 815л., Бензин А-95 ДСТУ 7687:2015 по талонах  - 885 л., Газове паливо ДСТУ 4047:2001 по талонах - 1540л.)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складає: _______грн.., коп. (прописом ______грн._____коп.______)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uk-UA"/>
        </w:rPr>
        <w:t>*Ціна та сума мають бути відмінними від 0,00грн. та вказані з двома знаками після коми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Якщо наша пропозиція буде ацептована, ми  візьмемо на себе зобовязання виконати усі умови, передбачені Договором.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 До того часу,  поки не буде підписано офіційного Договору, наша пропозиція з Вашим письмовим акцептом будуть вважатися такими,  що мають силу договору між нами.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Строк поставки товарів: протягом чотирнадцяти робочих днів після підписання Договору (попередньо узгодивши дату та час поставки).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 За результатом здійснення спрощеної закупівлі Замовник та Виконавець укладають договір не пізніше ніж через 20 днів з дня прийняття рішення про намір укласти договір про закупівлю.</w:t>
      </w:r>
    </w:p>
    <w:p>
      <w:pPr>
        <w:pStyle w:val="8"/>
        <w:jc w:val="both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8"/>
        <w:jc w:val="both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8"/>
        <w:jc w:val="both"/>
        <w:rPr>
          <w:rFonts w:hint="default"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lang w:val="uk-UA" w:eastAsia="ru-RU" w:bidi="ar-SA"/>
        </w:rPr>
      </w:pPr>
    </w:p>
    <w:p>
      <w:pPr>
        <w:pStyle w:val="1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  <w:bookmarkStart w:id="1" w:name="_GoBack"/>
      <w:bookmarkEnd w:id="1"/>
    </w:p>
    <w:p>
      <w:pPr>
        <w:wordWrap/>
        <w:spacing w:after="0" w:line="240" w:lineRule="auto"/>
        <w:ind w:left="0" w:leftChars="0" w:firstLine="218" w:firstLineChars="91"/>
        <w:contextualSpacing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 w:eastAsia="ru-RU" w:bidi="ar-SA"/>
        </w:rPr>
      </w:pP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br w:type="page"/>
      </w:r>
    </w:p>
    <w:p>
      <w:pPr>
        <w:spacing w:after="0" w:line="240" w:lineRule="auto"/>
        <w:ind w:left="7920"/>
        <w:contextualSpacing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Додаток № 4</w:t>
      </w:r>
    </w:p>
    <w:p>
      <w:pPr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 оголошення про проведення спрощеної закупівлі</w:t>
      </w:r>
    </w:p>
    <w:p>
      <w:pPr>
        <w:wordWrap w:val="0"/>
        <w:spacing w:after="0" w:line="240" w:lineRule="auto"/>
        <w:ind w:left="2880" w:firstLine="240"/>
        <w:contextualSpacing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val="uk-UA"/>
        </w:rPr>
        <w:t>через систему електронних закупівель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shd w:val="clear" w:fill="FFFFFF"/>
          <w:lang w:val="uk" w:eastAsia="zh-CN" w:bidi="ar"/>
        </w:rPr>
      </w:pPr>
    </w:p>
    <w:p>
      <w:pPr>
        <w:wordWrap/>
        <w:spacing w:after="0" w:line="240" w:lineRule="auto"/>
        <w:ind w:left="0" w:leftChars="0" w:firstLine="218" w:firstLineChars="91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ПРОЄКТ ДОГОВОРУ№_____</w:t>
      </w:r>
    </w:p>
    <w:p>
      <w:p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878" w:firstLineChars="366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смт. Стара Синява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  <w:t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“____” ___________ 2022р.</w:t>
      </w:r>
    </w:p>
    <w:p>
      <w:pPr>
        <w:wordWrap/>
        <w:spacing w:after="0" w:line="240" w:lineRule="auto"/>
        <w:ind w:left="0" w:leftChars="0" w:firstLine="878" w:firstLineChars="366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878" w:firstLineChars="366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______________________________, в подальшому в цьому договорі іменується “Постачальник”, в особі, _________________________________, що діє на півдставі ______________________, з одного боку, та  - Комунальне некомерційне підприємство “Старосинявський центр первинної медико-санітарної допомоги”, в подальшому  в цьому договорі іменується “Покупець”, в особі Директора ________________________, що діє  на підставі Статуту, з другого боку, в подальшому в цьому договорі і менуються “Сторони”, а кожен окремо - “Сторона”, уклали цей договір поставки про таке.</w:t>
      </w:r>
    </w:p>
    <w:p>
      <w:pPr>
        <w:wordWrap/>
        <w:spacing w:after="0" w:line="240" w:lineRule="auto"/>
        <w:ind w:left="0" w:leftChars="0" w:firstLine="878" w:firstLineChars="366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  <w:t>Предмет договору</w:t>
      </w:r>
    </w:p>
    <w:p>
      <w:pPr>
        <w:numPr>
          <w:numId w:val="0"/>
        </w:numPr>
        <w:wordWrap/>
        <w:spacing w:after="0" w:line="240" w:lineRule="auto"/>
        <w:contextualSpacing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1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Постачальник зобов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язується передати у встановлений строк у власніть покупця товар згідно коду ДК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021:2015 код 09100000-0 Паливо (Дизельне паливо ДСТУ 7688:2015 по талонах - 815л., Бензин А-95 ДСТУ 7687:2015 по талонах 885 л., Газове паливо ДСТУ 4047:2001 по талонах -1540л.), зазначений в асортименті, кількості та відповідних характеристиках, визначених у специфікації (Додаток №1) до цього Договору, який є невід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 xml:space="preserve">ємною частиною цього Договору, а Покупець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зобов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язується прийняти товар і оплатити його на умовах, передбачених цим Договором.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3"/>
        </w:numPr>
        <w:spacing w:after="0" w:line="240" w:lineRule="auto"/>
        <w:ind w:left="0" w:leftChars="0" w:firstLine="879" w:firstLineChars="36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Ціна та загальна сума Договору</w:t>
      </w: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Ціна на Товар встановлюється в національній валюті України, з урахуванням ПДВ та вказується у специфікації.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Вартість Договору складає ___________________________________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Кількість Товару, що постачається відповідно до цього Договору, може бути зменшена залежно від реального фінансування видатків.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Ціна на Товар, який є предметом закупівлі, не може бути безпідставно змінена протягом строку дії Договору.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Зміна ціни та доповнення до Специфікації оформлюється письмово у вигляді додаткових угод до цього Договору.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Умови оплати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3.1 Розрахунки за поставлений товар здійснюються за фактом постачання  Покупцю.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3.2. Покупець здійснює оплату Товару Постачальнику на підставі виставленої видаткової  накладної. 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3.3. Покупець після отримання Товару зобов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язується здійснити оплату протягом _________________ днів з моменту отримання Товару та підпимсання видаткової накладної.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  <w:t>Якість товару</w:t>
      </w:r>
    </w:p>
    <w:p>
      <w:pPr>
        <w:wordWrap/>
        <w:spacing w:after="0" w:line="240" w:lineRule="auto"/>
        <w:ind w:left="0" w:leftChars="0" w:firstLine="218" w:firstLineChars="91"/>
        <w:contextualSpacing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Якість Товару, що постачається, відповідає діючому законодавству України, державним стандартам ДСТУ  (Дизельне паливо - ДСТУ 7688:2015, Газове паливо - ДСТУ 4047:2001, Бензин А-95 ДСТУ 7687:2015), технічним умовам цього виду Товару, підтверджується сертифікатом якості виробника, має реєстраційні посвідчення.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Якщо поставлений Товар виявиться неякісним, або таким, що не відповідає умовам цього Договору, Постачальник зобов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язаний замінити цей Товар. Всі витрати, пов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’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язані із заміною Товару неналежної якості несе Постачальник.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/>
        </w:rPr>
        <w:t>Умови постачання</w:t>
      </w:r>
    </w:p>
    <w:p>
      <w:pPr>
        <w:wordWrap/>
        <w:spacing w:after="0" w:line="240" w:lineRule="auto"/>
        <w:ind w:left="0" w:leftChars="0" w:firstLine="219" w:firstLineChars="91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Постачальник здійснює поставку Товару Покупцеві протягом ______________________ днів з моменту підписання Договору.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Постачальник здійснює поставку Товару за місцезнаходженням Покупця: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Юридична і фактична адреса: 31400, Хмельницька обл., Хмельницький р-н, смт. Стара Синява, вул. Грушевського, 15.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Датою поставки є дата, коли Товар переданий у власність Покупця.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Постачальник повинен забезпечити заправку Дизельним паливом ДСТУ 7688:2015 по талонах, Зазовим пиливом ДСТУ  4047:2001 по талонах, Бензином А-95 ДСТУ7687:2015 по талонах в смт. Стара Синява, з наявною АЗС з відстанню не більше 4 км від  місцезнаходження (юридичної і фактичної адреси) Покупця.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Передача і приймання Товару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Приймання-передача Товару по кількості проводиться відповідно дор  товаро-супровідних документів, по якості - відповідно до документів, що засвідчують його якість.</w:t>
      </w: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 xml:space="preserve">При виникненні претензій щодо некомплектності чи якості Товару, Постачальникповинен замінити неякісний Товар, або здійснити доставку необхідної кількості Товару протягом 2-х робочих днів з дати отримання претензій (письмової чи усної по телефону) від Покупця. 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Пакування та маркування</w:t>
      </w:r>
    </w:p>
    <w:p>
      <w:pPr>
        <w:numPr>
          <w:numId w:val="0"/>
        </w:numPr>
        <w:wordWrap/>
        <w:spacing w:after="0" w:line="240" w:lineRule="auto"/>
        <w:ind w:leftChars="366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7.1. Товар повинен передаватися Покупцю в упаковці, яка відповідає характеру Товару, забезпечує цілісність Товару та збереження його якості під час перевезення.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Відповідальність Сторін</w:t>
      </w:r>
    </w:p>
    <w:p>
      <w:pPr>
        <w:numPr>
          <w:numId w:val="0"/>
        </w:numPr>
        <w:wordWrap/>
        <w:spacing w:after="0" w:line="240" w:lineRule="auto"/>
        <w:ind w:leftChars="366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</w:pPr>
    </w:p>
    <w:p>
      <w:pPr>
        <w:numPr>
          <w:ilvl w:val="1"/>
          <w:numId w:val="3"/>
        </w:numPr>
        <w:wordWrap/>
        <w:spacing w:after="0" w:line="240" w:lineRule="auto"/>
        <w:ind w:left="0" w:leftChars="0" w:firstLine="0" w:firstLineChars="0"/>
        <w:contextualSpacing/>
        <w:jc w:val="both"/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uk-UA"/>
        </w:rPr>
        <w:t>Сторони несуть відповідальність передбачену чинним законодавством України.</w:t>
      </w:r>
    </w:p>
    <w:p>
      <w:pPr>
        <w:numPr>
          <w:numId w:val="0"/>
        </w:numPr>
        <w:wordWrap/>
        <w:spacing w:after="0" w:line="240" w:lineRule="auto"/>
        <w:ind w:leftChars="0"/>
        <w:contextualSpacing/>
        <w:jc w:val="both"/>
      </w:pPr>
    </w:p>
    <w:p>
      <w:pPr>
        <w:numPr>
          <w:ilvl w:val="0"/>
          <w:numId w:val="3"/>
        </w:numPr>
        <w:wordWrap/>
        <w:spacing w:after="0" w:line="240" w:lineRule="auto"/>
        <w:ind w:left="0" w:leftChars="0" w:firstLine="879" w:firstLineChars="366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Обставини непереборної сили</w:t>
      </w:r>
    </w:p>
    <w:p>
      <w:pPr>
        <w:numPr>
          <w:numId w:val="0"/>
        </w:numPr>
        <w:wordWrap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</w:pPr>
    </w:p>
    <w:p>
      <w:pPr>
        <w:pStyle w:val="3"/>
        <w:spacing w:before="0" w:after="0"/>
        <w:ind w:right="-34"/>
        <w:jc w:val="both"/>
      </w:pPr>
      <w:r>
        <w:rPr>
          <w:color w:val="000000"/>
          <w:lang w:val="uk-UA"/>
        </w:rPr>
        <w:t>9</w:t>
      </w:r>
      <w:r>
        <w:rPr>
          <w:color w:val="000000"/>
        </w:rPr>
        <w:t>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тощо (далі - форс-мажорні обставини).</w:t>
      </w:r>
    </w:p>
    <w:p>
      <w:pPr>
        <w:pStyle w:val="3"/>
        <w:tabs>
          <w:tab w:val="left" w:pos="8506"/>
        </w:tabs>
        <w:spacing w:before="0" w:after="0"/>
        <w:jc w:val="both"/>
      </w:pPr>
      <w:r>
        <w:rPr>
          <w:color w:val="000000"/>
          <w:lang w:val="uk-UA"/>
        </w:rPr>
        <w:t>9</w:t>
      </w:r>
      <w:r>
        <w:rPr>
          <w:color w:val="000000"/>
        </w:rPr>
        <w:t>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>
      <w:pPr>
        <w:pStyle w:val="3"/>
        <w:tabs>
          <w:tab w:val="left" w:pos="8506"/>
        </w:tabs>
        <w:spacing w:before="0" w:after="0"/>
        <w:jc w:val="both"/>
      </w:pPr>
      <w:r>
        <w:rPr>
          <w:color w:val="000000"/>
          <w:lang w:val="uk-UA"/>
        </w:rPr>
        <w:t>9</w:t>
      </w:r>
      <w:r>
        <w:rPr>
          <w:color w:val="000000"/>
        </w:rPr>
        <w:t>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>
      <w:pPr>
        <w:pStyle w:val="3"/>
        <w:tabs>
          <w:tab w:val="left" w:pos="8506"/>
        </w:tabs>
        <w:spacing w:before="0" w:after="0"/>
        <w:jc w:val="both"/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>
      <w:pPr>
        <w:pStyle w:val="3"/>
        <w:tabs>
          <w:tab w:val="left" w:pos="8506"/>
        </w:tabs>
        <w:spacing w:before="0" w:after="0"/>
        <w:jc w:val="both"/>
      </w:pPr>
      <w:r>
        <w:t> </w:t>
      </w:r>
    </w:p>
    <w:p>
      <w:pPr>
        <w:pStyle w:val="3"/>
        <w:tabs>
          <w:tab w:val="left" w:pos="8506"/>
        </w:tabs>
        <w:spacing w:before="0" w:after="0"/>
        <w:jc w:val="center"/>
      </w:pPr>
      <w:r>
        <w:rPr>
          <w:b/>
          <w:bCs/>
          <w:color w:val="000000"/>
          <w:lang w:val="uk-UA"/>
        </w:rPr>
        <w:t>10</w:t>
      </w:r>
      <w:r>
        <w:rPr>
          <w:b/>
          <w:bCs/>
          <w:color w:val="000000"/>
        </w:rPr>
        <w:t>.  Вирішення спорів</w:t>
      </w:r>
    </w:p>
    <w:p>
      <w:pPr>
        <w:pStyle w:val="3"/>
        <w:tabs>
          <w:tab w:val="left" w:pos="8506"/>
        </w:tabs>
        <w:spacing w:before="0" w:after="0"/>
        <w:jc w:val="both"/>
      </w:pPr>
      <w:r>
        <w:rPr>
          <w:color w:val="000000"/>
          <w:lang w:val="uk-UA"/>
        </w:rPr>
        <w:t>10</w:t>
      </w:r>
      <w:r>
        <w:rPr>
          <w:color w:val="000000"/>
        </w:rPr>
        <w:t xml:space="preserve">.1. У випадку виникнення спорів або розбіжностей Сторони зобов’язуються вирішувати їх шляхом  переговорів та </w:t>
      </w:r>
      <w:r>
        <w:rPr>
          <w:color w:val="000000"/>
          <w:lang w:val="uk-UA"/>
        </w:rPr>
        <w:t>прийняття рішень</w:t>
      </w:r>
      <w:r>
        <w:rPr>
          <w:color w:val="000000"/>
        </w:rPr>
        <w:t>.</w:t>
      </w:r>
    </w:p>
    <w:p>
      <w:pPr>
        <w:pStyle w:val="3"/>
        <w:tabs>
          <w:tab w:val="left" w:pos="540"/>
        </w:tabs>
        <w:spacing w:before="0" w:after="0"/>
        <w:jc w:val="both"/>
      </w:pPr>
      <w:r>
        <w:rPr>
          <w:color w:val="000000"/>
          <w:lang w:val="uk-UA"/>
        </w:rPr>
        <w:t>10</w:t>
      </w:r>
      <w:r>
        <w:rPr>
          <w:color w:val="000000"/>
        </w:rPr>
        <w:t>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</w:t>
      </w:r>
      <w:r>
        <w:rPr>
          <w:color w:val="000000"/>
          <w:lang w:val="uk-UA"/>
        </w:rPr>
        <w:t xml:space="preserve"> України</w:t>
      </w:r>
      <w:r>
        <w:rPr>
          <w:color w:val="000000"/>
        </w:rPr>
        <w:t xml:space="preserve"> порядку.</w:t>
      </w:r>
    </w:p>
    <w:p>
      <w:pPr>
        <w:pStyle w:val="3"/>
        <w:tabs>
          <w:tab w:val="left" w:pos="8506"/>
        </w:tabs>
        <w:spacing w:before="0" w:after="0"/>
        <w:jc w:val="center"/>
      </w:pPr>
      <w:r>
        <w:t> </w:t>
      </w:r>
    </w:p>
    <w:p>
      <w:pPr>
        <w:pStyle w:val="3"/>
        <w:tabs>
          <w:tab w:val="left" w:pos="8506"/>
        </w:tabs>
        <w:spacing w:before="0" w:after="0"/>
        <w:jc w:val="center"/>
      </w:pPr>
      <w:r>
        <w:rPr>
          <w:b/>
          <w:bCs/>
          <w:color w:val="000000"/>
          <w:lang w:val="uk-UA"/>
        </w:rPr>
        <w:t>11</w:t>
      </w:r>
      <w:r>
        <w:rPr>
          <w:b/>
          <w:bCs/>
          <w:color w:val="000000"/>
        </w:rPr>
        <w:t>. Строк дії договору</w:t>
      </w:r>
    </w:p>
    <w:p>
      <w:pPr>
        <w:pStyle w:val="3"/>
        <w:spacing w:before="0" w:after="0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.1.  Цей договір укладається та вступає в силу з моменту його підписання Сторонами і діє по 31 грудня 202</w:t>
      </w:r>
      <w:r>
        <w:rPr>
          <w:color w:val="000000"/>
          <w:lang w:val="uk-UA"/>
        </w:rPr>
        <w:t>2</w:t>
      </w:r>
      <w:r>
        <w:rPr>
          <w:color w:val="000000"/>
        </w:rPr>
        <w:t xml:space="preserve"> року.</w:t>
      </w:r>
    </w:p>
    <w:p>
      <w:pPr>
        <w:pStyle w:val="3"/>
        <w:spacing w:before="0" w:after="0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.2. В частині розрахунків цей Договір діє до повного виконання Сторонами своїх зобов’язань по Договору.</w:t>
      </w:r>
    </w:p>
    <w:p>
      <w:pPr>
        <w:pStyle w:val="3"/>
        <w:spacing w:before="0" w:after="0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1</w:t>
      </w:r>
      <w:r>
        <w:rPr>
          <w:color w:val="000000"/>
        </w:rPr>
        <w:t>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>
      <w:pPr>
        <w:pStyle w:val="3"/>
        <w:spacing w:before="0" w:after="0"/>
        <w:jc w:val="both"/>
      </w:pPr>
      <w:r>
        <w:t> </w:t>
      </w:r>
    </w:p>
    <w:p>
      <w:pPr>
        <w:pStyle w:val="3"/>
        <w:numPr>
          <w:ilvl w:val="0"/>
          <w:numId w:val="4"/>
        </w:numPr>
        <w:tabs>
          <w:tab w:val="left" w:pos="1440"/>
        </w:tabs>
        <w:spacing w:before="0" w:after="0"/>
        <w:ind w:leftChars="17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Внесення змін до Договору. Інші умови.</w:t>
      </w:r>
    </w:p>
    <w:p>
      <w:pPr>
        <w:pStyle w:val="3"/>
        <w:numPr>
          <w:numId w:val="0"/>
        </w:numPr>
        <w:tabs>
          <w:tab w:val="left" w:pos="1440"/>
        </w:tabs>
        <w:spacing w:before="0" w:after="0"/>
        <w:jc w:val="both"/>
        <w:rPr>
          <w:b/>
          <w:bCs/>
          <w:color w:val="000000"/>
        </w:rPr>
      </w:pPr>
    </w:p>
    <w:p>
      <w:pPr>
        <w:pStyle w:val="3"/>
        <w:numPr>
          <w:ilvl w:val="1"/>
          <w:numId w:val="4"/>
        </w:numPr>
        <w:spacing w:before="0" w:after="0"/>
        <w:jc w:val="both"/>
      </w:pPr>
      <w:r>
        <w:rPr>
          <w:lang w:val="uk-UA"/>
        </w:rPr>
        <w:t>Дія Договору припиняється:</w:t>
      </w:r>
    </w:p>
    <w:p>
      <w:pPr>
        <w:pStyle w:val="3"/>
        <w:numPr>
          <w:numId w:val="0"/>
        </w:numPr>
        <w:spacing w:before="0" w:after="0"/>
        <w:ind w:leftChars="0"/>
        <w:jc w:val="both"/>
        <w:rPr>
          <w:rFonts w:hint="default"/>
          <w:lang w:val="uk-UA"/>
        </w:rPr>
      </w:pPr>
      <w:r>
        <w:rPr>
          <w:lang w:val="uk-UA"/>
        </w:rPr>
        <w:t>- повним виконанням Сторонами своїх зобов</w:t>
      </w:r>
      <w:r>
        <w:rPr>
          <w:rFonts w:hint="default"/>
          <w:lang w:val="en-US"/>
        </w:rPr>
        <w:t>’</w:t>
      </w:r>
      <w:r>
        <w:rPr>
          <w:rFonts w:hint="default"/>
          <w:lang w:val="uk-UA"/>
        </w:rPr>
        <w:t>язань а цим Договором;</w:t>
      </w:r>
    </w:p>
    <w:p>
      <w:pPr>
        <w:pStyle w:val="3"/>
        <w:numPr>
          <w:numId w:val="0"/>
        </w:numPr>
        <w:spacing w:before="0" w:after="0"/>
        <w:ind w:leftChars="0"/>
        <w:jc w:val="both"/>
        <w:rPr>
          <w:rFonts w:hint="default"/>
          <w:lang w:val="uk-UA"/>
        </w:rPr>
      </w:pPr>
      <w:r>
        <w:rPr>
          <w:rFonts w:hint="default"/>
          <w:lang w:val="uk-UA"/>
        </w:rPr>
        <w:t>- за згодою Сторін;</w:t>
      </w:r>
    </w:p>
    <w:p>
      <w:pPr>
        <w:pStyle w:val="3"/>
        <w:numPr>
          <w:numId w:val="0"/>
        </w:numPr>
        <w:spacing w:before="0" w:after="0"/>
        <w:ind w:leftChars="0"/>
        <w:jc w:val="both"/>
        <w:rPr>
          <w:rFonts w:hint="default"/>
          <w:lang w:val="uk-UA"/>
        </w:rPr>
      </w:pPr>
      <w:r>
        <w:rPr>
          <w:rFonts w:hint="default"/>
          <w:lang w:val="uk-UA"/>
        </w:rPr>
        <w:t>- з інших підстав, передбачених чинним законодавством України..</w:t>
      </w:r>
    </w:p>
    <w:p>
      <w:pPr>
        <w:pStyle w:val="3"/>
        <w:numPr>
          <w:numId w:val="0"/>
        </w:numPr>
        <w:spacing w:before="0" w:after="0"/>
        <w:ind w:leftChars="0"/>
        <w:jc w:val="both"/>
        <w:rPr>
          <w:rFonts w:hint="default"/>
          <w:lang w:val="uk-UA"/>
        </w:rPr>
      </w:pPr>
    </w:p>
    <w:p>
      <w:pPr>
        <w:pStyle w:val="3"/>
        <w:numPr>
          <w:ilvl w:val="1"/>
          <w:numId w:val="4"/>
        </w:numPr>
        <w:spacing w:before="0" w:after="0"/>
        <w:jc w:val="both"/>
      </w:pPr>
      <w:r>
        <w:rPr>
          <w:lang w:val="uk-UA"/>
        </w:rPr>
        <w:t>Цей Договір  може бути змінено та доповнено за згодою Сторін, а також в інших випадках, передбачених чинним законодавством України.</w:t>
      </w:r>
    </w:p>
    <w:p>
      <w:pPr>
        <w:pStyle w:val="3"/>
        <w:numPr>
          <w:ilvl w:val="1"/>
          <w:numId w:val="4"/>
        </w:numPr>
        <w:spacing w:before="0" w:after="0"/>
        <w:jc w:val="both"/>
      </w:pPr>
      <w:r>
        <w:rPr>
          <w:lang w:val="uk-UA"/>
        </w:rPr>
        <w:t>Зміни, доповнення до Договору, а також  розірванняч Договору оформлюються в письмовій формі як додаткові угоди та підписуються уповноваженими представниками обох Сторін.</w:t>
      </w:r>
    </w:p>
    <w:p>
      <w:pPr>
        <w:pStyle w:val="3"/>
        <w:numPr>
          <w:ilvl w:val="1"/>
          <w:numId w:val="4"/>
        </w:numPr>
        <w:spacing w:before="0" w:after="0"/>
        <w:jc w:val="both"/>
      </w:pPr>
      <w:r>
        <w:rPr>
          <w:lang w:val="uk-UA"/>
        </w:rPr>
        <w:t>Жодна із Сторін не має права передавати права та обовязки за цим Договором  третій</w:t>
      </w:r>
      <w:r>
        <w:rPr>
          <w:lang w:val="uk-UA"/>
        </w:rPr>
        <w:tab/>
        <w:t xml:space="preserve"> особі без отримання письмової згоди іншої сторони.</w:t>
      </w:r>
      <w:r>
        <w:t> </w:t>
      </w:r>
    </w:p>
    <w:p>
      <w:pPr>
        <w:pStyle w:val="3"/>
        <w:numPr>
          <w:ilvl w:val="1"/>
          <w:numId w:val="4"/>
        </w:numPr>
        <w:spacing w:before="0" w:after="0"/>
        <w:jc w:val="both"/>
      </w:pPr>
      <w:r>
        <w:rPr>
          <w:lang w:val="uk-UA"/>
        </w:rPr>
        <w:t>Цей Договір складений українськрою мовою, в двох примірниках, які мають однакою юридичну силу по одному  для кожної із Сторін.</w:t>
      </w:r>
    </w:p>
    <w:p>
      <w:pPr>
        <w:pStyle w:val="3"/>
        <w:spacing w:before="0" w:after="0"/>
        <w:jc w:val="center"/>
      </w:pPr>
      <w:r>
        <w:rPr>
          <w:b/>
          <w:bCs/>
          <w:color w:val="000000"/>
          <w:lang w:val="uk-UA"/>
        </w:rPr>
        <w:t>13</w:t>
      </w:r>
      <w:r>
        <w:rPr>
          <w:b/>
          <w:bCs/>
          <w:color w:val="000000"/>
        </w:rPr>
        <w:t>. Додатки до договору</w:t>
      </w:r>
    </w:p>
    <w:p>
      <w:pPr>
        <w:pStyle w:val="3"/>
        <w:spacing w:before="0" w:after="0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3</w:t>
      </w:r>
      <w:r>
        <w:rPr>
          <w:color w:val="000000"/>
        </w:rPr>
        <w:t>.1. Невід’ємною частиною цього Договору є:</w:t>
      </w:r>
    </w:p>
    <w:p>
      <w:pPr>
        <w:pStyle w:val="3"/>
        <w:spacing w:before="0" w:after="0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3</w:t>
      </w:r>
      <w:r>
        <w:rPr>
          <w:color w:val="000000"/>
        </w:rPr>
        <w:t>.1.1. Специфікація (Додаток 1).</w:t>
      </w:r>
    </w:p>
    <w:p>
      <w:pPr>
        <w:pStyle w:val="3"/>
        <w:spacing w:before="0" w:after="0"/>
        <w:jc w:val="both"/>
      </w:pPr>
      <w:r>
        <w:t> </w:t>
      </w:r>
    </w:p>
    <w:p>
      <w:pPr>
        <w:pStyle w:val="3"/>
        <w:spacing w:before="0" w:after="0"/>
        <w:jc w:val="center"/>
      </w:pPr>
      <w:r>
        <w:rPr>
          <w:b/>
          <w:bCs/>
          <w:color w:val="000000"/>
          <w:lang w:val="uk-UA"/>
        </w:rPr>
        <w:t>14</w:t>
      </w:r>
      <w:r>
        <w:rPr>
          <w:b/>
          <w:bCs/>
          <w:color w:val="000000"/>
        </w:rPr>
        <w:t>. Місцезнаходження та банківські реквізити сторін</w:t>
      </w:r>
    </w:p>
    <w:p>
      <w:pPr>
        <w:pStyle w:val="3"/>
        <w:spacing w:before="0" w:after="0"/>
        <w:jc w:val="both"/>
        <w:rPr>
          <w:b/>
          <w:bCs/>
          <w:color w:val="000000"/>
        </w:rPr>
      </w:pPr>
    </w:p>
    <w:p>
      <w:pPr>
        <w:pStyle w:val="3"/>
        <w:spacing w:before="0" w:after="0"/>
        <w:jc w:val="both"/>
      </w:pPr>
      <w:r>
        <w:rPr>
          <w:b/>
          <w:bCs/>
          <w:color w:val="000000"/>
        </w:rPr>
        <w:t>Постачальник:</w:t>
      </w:r>
      <w:r>
        <w:t> </w:t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  <w:t/>
      </w:r>
      <w:r>
        <w:rPr>
          <w:lang w:val="uk-UA"/>
        </w:rPr>
        <w:tab/>
      </w:r>
      <w:r>
        <w:rPr>
          <w:b/>
          <w:bCs/>
          <w:color w:val="000000"/>
          <w:lang w:val="uk-UA"/>
        </w:rPr>
        <w:t>Покупець</w:t>
      </w:r>
      <w:r>
        <w:rPr>
          <w:b/>
          <w:bCs/>
          <w:color w:val="000000"/>
        </w:rPr>
        <w:t>:      </w:t>
      </w:r>
    </w:p>
    <w:tbl>
      <w:tblPr>
        <w:tblStyle w:val="6"/>
        <w:tblW w:w="100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left="0" w:leftChars="0" w:firstLine="4841" w:firstLineChars="2016"/>
              <w:rPr>
                <w:rFonts w:hint="default"/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КНП </w:t>
            </w:r>
            <w:r>
              <w:rPr>
                <w:rFonts w:hint="default"/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  <w:t>“Старосинявський ЦПМСД”</w:t>
            </w:r>
          </w:p>
          <w:p>
            <w:pPr>
              <w:pStyle w:val="2"/>
              <w:ind w:left="0" w:leftChars="0" w:firstLine="4841" w:firstLineChars="2016"/>
              <w:rPr>
                <w:lang w:val="uk-UA"/>
              </w:rPr>
            </w:pPr>
            <w:r>
              <w:rPr>
                <w:b/>
                <w:i/>
              </w:rPr>
              <w:t>Адреса:</w:t>
            </w:r>
            <w:r>
              <w:t xml:space="preserve"> </w:t>
            </w:r>
            <w:r>
              <w:rPr>
                <w:lang w:val="uk-UA"/>
              </w:rPr>
              <w:t>31400</w:t>
            </w:r>
            <w:r>
              <w:t xml:space="preserve">, </w:t>
            </w:r>
            <w:r>
              <w:rPr>
                <w:lang w:val="uk-UA"/>
              </w:rPr>
              <w:t>Хмельницька</w:t>
            </w:r>
            <w:r>
              <w:t xml:space="preserve"> обл.,  </w:t>
            </w:r>
          </w:p>
          <w:p>
            <w:pPr>
              <w:pStyle w:val="2"/>
              <w:ind w:left="0" w:leftChars="0" w:firstLine="4838" w:firstLineChars="2016"/>
              <w:rPr>
                <w:lang w:val="uk-UA"/>
              </w:rPr>
            </w:pPr>
            <w:r>
              <w:rPr>
                <w:lang w:val="uk-UA"/>
              </w:rPr>
              <w:t xml:space="preserve">Хмельницький р-н, </w:t>
            </w:r>
          </w:p>
          <w:p>
            <w:pPr>
              <w:pStyle w:val="2"/>
              <w:ind w:left="0" w:leftChars="0" w:firstLine="4838" w:firstLineChars="2016"/>
              <w:rPr>
                <w:lang w:val="uk-UA"/>
              </w:rPr>
            </w:pPr>
            <w:r>
              <w:rPr>
                <w:lang w:val="uk-UA"/>
              </w:rPr>
              <w:t>смт. Стара Синява,</w:t>
            </w:r>
          </w:p>
          <w:p>
            <w:pPr>
              <w:pStyle w:val="2"/>
              <w:ind w:left="0" w:leftChars="0" w:firstLine="4838" w:firstLineChars="2016"/>
              <w:rPr>
                <w:lang w:val="uk-UA"/>
              </w:rPr>
            </w:pPr>
            <w:r>
              <w:rPr>
                <w:lang w:val="uk-UA"/>
              </w:rPr>
              <w:t xml:space="preserve"> вул. Грушевского, 15</w:t>
            </w:r>
          </w:p>
          <w:p>
            <w:pPr>
              <w:pStyle w:val="2"/>
              <w:ind w:left="0" w:leftChars="0" w:firstLine="4841" w:firstLineChars="2016"/>
            </w:pPr>
            <w:r>
              <w:rPr>
                <w:b/>
                <w:i/>
              </w:rPr>
              <w:t>Банк:</w:t>
            </w:r>
            <w:r>
              <w:rPr>
                <w:b/>
                <w:i/>
                <w:lang w:val="uk-UA"/>
              </w:rPr>
              <w:t xml:space="preserve"> </w:t>
            </w:r>
          </w:p>
          <w:p>
            <w:pPr>
              <w:pStyle w:val="2"/>
              <w:ind w:left="0" w:leftChars="0" w:firstLine="4838" w:firstLineChars="2016"/>
              <w:rPr>
                <w:b/>
                <w:u w:val="single"/>
              </w:rPr>
            </w:pPr>
            <w:r>
              <w:t>Р/р</w:t>
            </w:r>
            <w:r>
              <w:rPr>
                <w:b/>
                <w:u w:val="single"/>
              </w:rPr>
              <w:t>:__________________________________</w:t>
            </w:r>
          </w:p>
          <w:p>
            <w:pPr>
              <w:pStyle w:val="2"/>
              <w:ind w:left="0" w:leftChars="0" w:firstLine="4841" w:firstLineChars="2016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</w:t>
            </w:r>
          </w:p>
          <w:p>
            <w:pPr>
              <w:pStyle w:val="2"/>
              <w:ind w:left="0" w:leftChars="0" w:firstLine="4838" w:firstLineChars="2016"/>
              <w:rPr>
                <w:u w:val="single"/>
                <w:lang w:val="uk-UA"/>
              </w:rPr>
            </w:pPr>
            <w:r>
              <w:t>ЄДРПОУ: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37329345</w:t>
            </w:r>
          </w:p>
          <w:p>
            <w:pPr>
              <w:pStyle w:val="2"/>
              <w:ind w:left="0" w:leftChars="0" w:firstLine="4838" w:firstLineChars="2016"/>
            </w:pPr>
            <w:r>
              <w:t xml:space="preserve">МФО : </w:t>
            </w:r>
          </w:p>
          <w:p>
            <w:pPr>
              <w:ind w:left="0" w:leftChars="0" w:firstLine="4435" w:firstLineChars="2016"/>
              <w:jc w:val="both"/>
              <w:rPr>
                <w:rFonts w:hint="default" w:ascii="Times New Roman" w:hAnsi="Times New Roman" w:cs="Times New Roman"/>
                <w:b/>
                <w:i w:val="0"/>
                <w:iCs/>
                <w:u w:val="single"/>
                <w:lang w:val="uk-UA"/>
              </w:rPr>
            </w:pPr>
            <w:r>
              <w:t xml:space="preserve">______________                    </w:t>
            </w:r>
            <w:r>
              <w:rPr>
                <w:rFonts w:hint="default" w:ascii="Times New Roman" w:hAnsi="Times New Roman" w:cs="Times New Roman"/>
                <w:b/>
                <w:i w:val="0"/>
                <w:iCs/>
                <w:u w:val="single"/>
                <w:lang w:val="uk-UA"/>
              </w:rPr>
              <w:t>Надія АНАНЬЄВА</w:t>
            </w:r>
          </w:p>
          <w:p>
            <w:pPr>
              <w:ind w:left="0" w:leftChars="0" w:firstLine="4435" w:firstLineChars="2016"/>
              <w:jc w:val="both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u w:val="none"/>
                <w:lang w:val="uk-UA"/>
              </w:rPr>
              <w:t>М.П.</w:t>
            </w:r>
          </w:p>
          <w:p>
            <w:pPr>
              <w:jc w:val="both"/>
            </w:pPr>
          </w:p>
        </w:tc>
      </w:tr>
    </w:tbl>
    <w:p/>
    <w:p/>
    <w:p/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>
      <w:pPr>
        <w:pStyle w:val="3"/>
        <w:tabs>
          <w:tab w:val="left" w:pos="708"/>
        </w:tabs>
        <w:spacing w:before="0" w:after="0"/>
        <w:ind w:left="0" w:leftChars="0" w:firstLine="6603" w:firstLineChars="2750"/>
        <w:jc w:val="lef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Додаток №1 </w:t>
      </w:r>
    </w:p>
    <w:p>
      <w:pPr>
        <w:pStyle w:val="3"/>
        <w:tabs>
          <w:tab w:val="left" w:pos="708"/>
        </w:tabs>
        <w:spacing w:before="0" w:after="0"/>
        <w:ind w:left="0" w:leftChars="0" w:firstLine="6600" w:firstLineChars="2750"/>
        <w:jc w:val="left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>до Договору №_____</w:t>
      </w:r>
    </w:p>
    <w:p>
      <w:pPr>
        <w:pStyle w:val="3"/>
        <w:tabs>
          <w:tab w:val="left" w:pos="708"/>
        </w:tabs>
        <w:spacing w:before="0" w:after="0"/>
        <w:ind w:left="0" w:leftChars="0" w:firstLine="6600" w:firstLineChars="2750"/>
        <w:jc w:val="left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>від___________2022р.</w:t>
      </w:r>
    </w:p>
    <w:p>
      <w:pPr>
        <w:pStyle w:val="3"/>
        <w:tabs>
          <w:tab w:val="left" w:pos="708"/>
        </w:tabs>
        <w:spacing w:before="0" w:after="0"/>
        <w:ind w:left="0" w:leftChars="0" w:firstLine="6600" w:firstLineChars="2750"/>
        <w:jc w:val="left"/>
        <w:rPr>
          <w:b w:val="0"/>
          <w:bCs w:val="0"/>
          <w:color w:val="000000"/>
          <w:lang w:val="uk-UA"/>
        </w:rPr>
      </w:pPr>
    </w:p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СПЕЦИФІКАЦІЯ</w:t>
      </w:r>
    </w:p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</w:p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</w:p>
    <w:tbl>
      <w:tblPr>
        <w:tblStyle w:val="7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2306"/>
        <w:gridCol w:w="1468"/>
        <w:gridCol w:w="1469"/>
        <w:gridCol w:w="1469"/>
        <w:gridCol w:w="146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0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№</w:t>
            </w:r>
          </w:p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2306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Найменування товару</w:t>
            </w:r>
          </w:p>
        </w:tc>
        <w:tc>
          <w:tcPr>
            <w:tcW w:w="1468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Нормативи якості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Одиниця виміру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кількість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Ціна грн.</w:t>
            </w:r>
          </w:p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(без ПДВ)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Сума грн.</w:t>
            </w:r>
          </w:p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(без ПДВ)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1</w:t>
            </w:r>
          </w:p>
        </w:tc>
        <w:tc>
          <w:tcPr>
            <w:tcW w:w="2306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Дизельне паливо по талонах</w:t>
            </w:r>
          </w:p>
        </w:tc>
        <w:tc>
          <w:tcPr>
            <w:tcW w:w="1468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ДСТУ 7688:2015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л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815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0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2</w:t>
            </w:r>
          </w:p>
        </w:tc>
        <w:tc>
          <w:tcPr>
            <w:tcW w:w="2306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Бензин А-95 по талонах</w:t>
            </w:r>
          </w:p>
        </w:tc>
        <w:tc>
          <w:tcPr>
            <w:tcW w:w="1468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ДСТУ 7687:2015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л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885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3</w:t>
            </w:r>
          </w:p>
        </w:tc>
        <w:tc>
          <w:tcPr>
            <w:tcW w:w="2306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Газове паливо</w:t>
            </w:r>
          </w:p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  <w:tc>
          <w:tcPr>
            <w:tcW w:w="1468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ДСТУ 4047:2001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л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  <w:r>
              <w:rPr>
                <w:b/>
                <w:bCs/>
                <w:color w:val="000000"/>
                <w:vertAlign w:val="baseline"/>
                <w:lang w:val="uk-UA"/>
              </w:rPr>
              <w:t>1540</w:t>
            </w: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  <w:tc>
          <w:tcPr>
            <w:tcW w:w="1469" w:type="dxa"/>
          </w:tcPr>
          <w:p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b/>
                <w:bCs/>
                <w:color w:val="000000"/>
                <w:vertAlign w:val="baseline"/>
                <w:lang w:val="uk-UA"/>
              </w:rPr>
            </w:pPr>
          </w:p>
        </w:tc>
      </w:tr>
    </w:tbl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</w:p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</w:p>
    <w:p>
      <w:pPr>
        <w:pStyle w:val="3"/>
        <w:tabs>
          <w:tab w:val="left" w:pos="708"/>
        </w:tabs>
        <w:spacing w:before="0" w:after="0"/>
        <w:jc w:val="center"/>
        <w:rPr>
          <w:b/>
          <w:bCs/>
          <w:color w:val="000000"/>
          <w:lang w:val="uk-UA"/>
        </w:rPr>
      </w:pPr>
    </w:p>
    <w:p>
      <w:pPr>
        <w:pStyle w:val="3"/>
        <w:tabs>
          <w:tab w:val="left" w:pos="708"/>
        </w:tabs>
        <w:spacing w:before="0" w:after="0"/>
        <w:jc w:val="both"/>
      </w:pPr>
      <w:r>
        <w:rPr>
          <w:b/>
          <w:bCs/>
          <w:color w:val="000000"/>
        </w:rPr>
        <w:t>Постачальник:</w:t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/>
      </w:r>
      <w:r>
        <w:rPr>
          <w:b/>
          <w:bCs/>
          <w:color w:val="000000"/>
          <w:lang w:val="uk-UA"/>
        </w:rPr>
        <w:tab/>
        <w:t>Покупець</w:t>
      </w:r>
      <w:r>
        <w:rPr>
          <w:b/>
          <w:bCs/>
          <w:color w:val="000000"/>
        </w:rPr>
        <w:t>: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tbl>
      <w:tblPr>
        <w:tblStyle w:val="6"/>
        <w:tblW w:w="100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left="0" w:leftChars="0" w:firstLine="5283" w:firstLineChars="2200"/>
              <w:rPr>
                <w:rFonts w:hint="default"/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КНП </w:t>
            </w:r>
            <w:r>
              <w:rPr>
                <w:rFonts w:hint="default"/>
                <w:b/>
                <w:i/>
                <w:color w:val="000000" w:themeColor="text1"/>
                <w:u w:val="single"/>
                <w:shd w:val="clear" w:color="auto" w:fill="FFFFFF"/>
                <w:lang w:val="uk-UA"/>
                <w14:textFill>
                  <w14:solidFill>
                    <w14:schemeClr w14:val="tx1"/>
                  </w14:solidFill>
                </w14:textFill>
              </w:rPr>
              <w:t>“Старосинявський ЦПМСД”</w:t>
            </w:r>
          </w:p>
          <w:p>
            <w:pPr>
              <w:pStyle w:val="2"/>
              <w:ind w:left="0" w:leftChars="0" w:firstLine="5283" w:firstLineChars="2200"/>
              <w:rPr>
                <w:lang w:val="uk-UA"/>
              </w:rPr>
            </w:pPr>
            <w:r>
              <w:rPr>
                <w:b/>
                <w:i/>
              </w:rPr>
              <w:t>Адреса:</w:t>
            </w:r>
            <w:r>
              <w:t xml:space="preserve"> </w:t>
            </w:r>
            <w:r>
              <w:rPr>
                <w:lang w:val="uk-UA"/>
              </w:rPr>
              <w:t>31400</w:t>
            </w:r>
            <w:r>
              <w:t xml:space="preserve">, </w:t>
            </w:r>
            <w:r>
              <w:rPr>
                <w:lang w:val="uk-UA"/>
              </w:rPr>
              <w:t>Хмельницька</w:t>
            </w:r>
            <w:r>
              <w:t xml:space="preserve"> обл.,  </w:t>
            </w:r>
          </w:p>
          <w:p>
            <w:pPr>
              <w:pStyle w:val="2"/>
              <w:ind w:left="0" w:leftChars="0" w:firstLine="5280" w:firstLineChars="2200"/>
              <w:rPr>
                <w:lang w:val="uk-UA"/>
              </w:rPr>
            </w:pPr>
            <w:r>
              <w:rPr>
                <w:lang w:val="uk-UA"/>
              </w:rPr>
              <w:t xml:space="preserve">Хмельницький р-н, </w:t>
            </w:r>
          </w:p>
          <w:p>
            <w:pPr>
              <w:pStyle w:val="2"/>
              <w:ind w:left="0" w:leftChars="0" w:firstLine="5280" w:firstLineChars="2200"/>
              <w:rPr>
                <w:lang w:val="uk-UA"/>
              </w:rPr>
            </w:pPr>
            <w:r>
              <w:rPr>
                <w:lang w:val="uk-UA"/>
              </w:rPr>
              <w:t>смт. Стара Синява,</w:t>
            </w:r>
          </w:p>
          <w:p>
            <w:pPr>
              <w:pStyle w:val="2"/>
              <w:ind w:left="0" w:leftChars="0" w:firstLine="5280" w:firstLineChars="2200"/>
              <w:rPr>
                <w:lang w:val="uk-UA"/>
              </w:rPr>
            </w:pPr>
            <w:r>
              <w:rPr>
                <w:lang w:val="uk-UA"/>
              </w:rPr>
              <w:t xml:space="preserve"> вул. Грушевского, 15</w:t>
            </w:r>
          </w:p>
          <w:p>
            <w:pPr>
              <w:pStyle w:val="2"/>
              <w:ind w:left="0" w:leftChars="0" w:firstLine="5283" w:firstLineChars="2200"/>
            </w:pPr>
            <w:r>
              <w:rPr>
                <w:b/>
                <w:i/>
              </w:rPr>
              <w:t>Банк:</w:t>
            </w:r>
            <w:r>
              <w:rPr>
                <w:b/>
                <w:i/>
                <w:lang w:val="uk-UA"/>
              </w:rPr>
              <w:t xml:space="preserve"> </w:t>
            </w:r>
          </w:p>
          <w:p>
            <w:pPr>
              <w:pStyle w:val="2"/>
              <w:ind w:left="0" w:leftChars="0" w:firstLine="5280" w:firstLineChars="2200"/>
              <w:rPr>
                <w:b/>
                <w:u w:val="single"/>
              </w:rPr>
            </w:pPr>
            <w:r>
              <w:t>Р/р</w:t>
            </w:r>
            <w:r>
              <w:rPr>
                <w:b/>
                <w:u w:val="single"/>
              </w:rPr>
              <w:t>:__________________________________</w:t>
            </w:r>
          </w:p>
          <w:p>
            <w:pPr>
              <w:pStyle w:val="2"/>
              <w:ind w:left="0" w:leftChars="0" w:firstLine="5283" w:firstLineChars="2200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</w:t>
            </w:r>
          </w:p>
          <w:p>
            <w:pPr>
              <w:pStyle w:val="2"/>
              <w:ind w:left="0" w:leftChars="0" w:firstLine="5280" w:firstLineChars="2200"/>
              <w:rPr>
                <w:u w:val="single"/>
                <w:lang w:val="uk-UA"/>
              </w:rPr>
            </w:pPr>
            <w:r>
              <w:t>ЄДРПОУ: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37329345</w:t>
            </w:r>
          </w:p>
          <w:p>
            <w:pPr>
              <w:pStyle w:val="2"/>
              <w:ind w:left="0" w:leftChars="0" w:firstLine="5280" w:firstLineChars="2200"/>
            </w:pPr>
            <w:r>
              <w:t xml:space="preserve">МФО : </w:t>
            </w:r>
          </w:p>
          <w:p>
            <w:pPr>
              <w:spacing w:line="240" w:lineRule="auto"/>
              <w:ind w:left="0" w:leftChars="0" w:firstLine="4840" w:firstLineChars="2200"/>
              <w:jc w:val="both"/>
              <w:rPr>
                <w:b/>
                <w:i/>
                <w:u w:val="single"/>
                <w:lang w:val="uk-UA"/>
              </w:rPr>
            </w:pPr>
            <w:r>
              <w:t xml:space="preserve">______________                    </w:t>
            </w:r>
            <w:r>
              <w:rPr>
                <w:rFonts w:hint="default" w:ascii="Times New Roman" w:hAnsi="Times New Roman" w:cs="Times New Roman"/>
                <w:b/>
                <w:i w:val="0"/>
                <w:iCs/>
                <w:u w:val="single"/>
                <w:lang w:val="uk-UA"/>
              </w:rPr>
              <w:t>Надія АНАНЬЄВА</w:t>
            </w:r>
          </w:p>
          <w:p>
            <w:pPr>
              <w:spacing w:line="240" w:lineRule="auto"/>
              <w:ind w:left="0" w:leftChars="0" w:firstLine="4840" w:firstLineChars="2200"/>
              <w:jc w:val="both"/>
              <w:rPr>
                <w:i/>
              </w:rPr>
            </w:pPr>
            <w:r>
              <w:rPr>
                <w:i/>
              </w:rPr>
              <w:t>(Підпис)                                       (ПІБ)</w:t>
            </w:r>
          </w:p>
          <w:p>
            <w:pPr>
              <w:spacing w:line="240" w:lineRule="auto"/>
              <w:ind w:left="0" w:leftChars="0" w:firstLine="4840" w:firstLineChars="220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М.П.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1594"/>
              </w:tabs>
              <w:jc w:val="both"/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/>
          <w:color w:val="FF0000"/>
          <w:sz w:val="24"/>
          <w:szCs w:val="28"/>
          <w:lang w:val="uk-UA"/>
        </w:rPr>
      </w:pPr>
    </w:p>
    <w:p>
      <w:pPr>
        <w:rPr>
          <w:rFonts w:ascii="Times New Roman" w:hAnsi="Times New Roman" w:eastAsia="Times New Roman" w:cs="Times New Roman"/>
          <w:b/>
          <w:i/>
          <w:color w:val="FF0000"/>
          <w:sz w:val="24"/>
          <w:szCs w:val="28"/>
          <w:lang w:val="uk-UA"/>
        </w:rPr>
      </w:pPr>
    </w:p>
    <w:p>
      <w:pPr>
        <w:rPr>
          <w:rFonts w:ascii="Times New Roman" w:hAnsi="Times New Roman" w:eastAsia="Times New Roman" w:cs="Times New Roman"/>
          <w:b/>
          <w:i/>
          <w:color w:val="FF0000"/>
          <w:sz w:val="24"/>
          <w:szCs w:val="28"/>
          <w:lang w:val="uk-UA"/>
        </w:rPr>
      </w:pPr>
    </w:p>
    <w:p>
      <w:pPr>
        <w:rPr>
          <w:rFonts w:ascii="Times New Roman" w:hAnsi="Times New Roman" w:eastAsia="Times New Roman" w:cs="Times New Roman"/>
          <w:b/>
          <w:i/>
          <w:color w:val="FF0000"/>
          <w:sz w:val="24"/>
          <w:szCs w:val="28"/>
          <w:lang w:val="uk-UA"/>
        </w:rPr>
      </w:pPr>
    </w:p>
    <w:p/>
    <w:sectPr>
      <w:pgSz w:w="11906" w:h="16838"/>
      <w:pgMar w:top="568" w:right="566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3F972"/>
    <w:multiLevelType w:val="singleLevel"/>
    <w:tmpl w:val="F203F972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103B73"/>
    <w:multiLevelType w:val="multilevel"/>
    <w:tmpl w:val="F6103B73"/>
    <w:lvl w:ilvl="0" w:tentative="0">
      <w:start w:val="1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618573A8"/>
    <w:multiLevelType w:val="multilevel"/>
    <w:tmpl w:val="618573A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E4E491"/>
    <w:multiLevelType w:val="multilevel"/>
    <w:tmpl w:val="70E4E49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0C34"/>
    <w:rsid w:val="01346CB7"/>
    <w:rsid w:val="02D326AC"/>
    <w:rsid w:val="02DE6C6C"/>
    <w:rsid w:val="02FB45DA"/>
    <w:rsid w:val="05743FBA"/>
    <w:rsid w:val="0EC86970"/>
    <w:rsid w:val="0F6E0B19"/>
    <w:rsid w:val="0F784E44"/>
    <w:rsid w:val="1466253F"/>
    <w:rsid w:val="16683E56"/>
    <w:rsid w:val="1B7F5389"/>
    <w:rsid w:val="221617AC"/>
    <w:rsid w:val="23763072"/>
    <w:rsid w:val="26A34247"/>
    <w:rsid w:val="26A953E8"/>
    <w:rsid w:val="2DA316D1"/>
    <w:rsid w:val="306C6AB6"/>
    <w:rsid w:val="34137375"/>
    <w:rsid w:val="37264FD4"/>
    <w:rsid w:val="38712719"/>
    <w:rsid w:val="39670C34"/>
    <w:rsid w:val="3C6E5837"/>
    <w:rsid w:val="43BA4302"/>
    <w:rsid w:val="44464F33"/>
    <w:rsid w:val="461A36A1"/>
    <w:rsid w:val="479E69FE"/>
    <w:rsid w:val="49FE5523"/>
    <w:rsid w:val="4B9B18A2"/>
    <w:rsid w:val="4C343085"/>
    <w:rsid w:val="583205BF"/>
    <w:rsid w:val="592F1D77"/>
    <w:rsid w:val="59AB58EA"/>
    <w:rsid w:val="5B440065"/>
    <w:rsid w:val="5C504241"/>
    <w:rsid w:val="61796E4B"/>
    <w:rsid w:val="61AC6B7D"/>
    <w:rsid w:val="62B12360"/>
    <w:rsid w:val="63642D20"/>
    <w:rsid w:val="63C32177"/>
    <w:rsid w:val="69706218"/>
    <w:rsid w:val="69E13FF9"/>
    <w:rsid w:val="6D9366CB"/>
    <w:rsid w:val="6DE66173"/>
    <w:rsid w:val="71150A81"/>
    <w:rsid w:val="75EA2CB8"/>
    <w:rsid w:val="766E4CB3"/>
    <w:rsid w:val="798962A8"/>
    <w:rsid w:val="7EC16818"/>
    <w:rsid w:val="7FA1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uppressAutoHyphens/>
      <w:autoSpaceDE w:val="0"/>
      <w:spacing w:after="120" w:line="240" w:lineRule="auto"/>
    </w:pPr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paragraph" w:styleId="3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table" w:customStyle="1" w:styleId="12">
    <w:name w:val="Обычная таблица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2022-09-12T12:14:00Z</dcterms:created>
  <dc:creator>user</dc:creator>
  <cp:lastModifiedBy>user</cp:lastModifiedBy>
  <dcterms:modified xsi:type="dcterms:W3CDTF">2022-09-13T09:42:14Z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1033-10.2.0.7504</vt:lpwstr>
  </property>
</Properties>
</file>