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ABAD" w14:textId="7A4FE53E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  <w:r>
        <w:rPr>
          <w:b/>
          <w:bCs/>
          <w:color w:val="000000"/>
          <w:spacing w:val="-7"/>
          <w:lang w:val="uk-UA"/>
        </w:rPr>
        <w:t>ДОДАТОК 3</w:t>
      </w:r>
    </w:p>
    <w:p w14:paraId="7507C22B" w14:textId="77777777" w:rsidR="0071288E" w:rsidRDefault="0071288E" w:rsidP="0071288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pacing w:val="-7"/>
          <w:lang w:val="uk-UA"/>
        </w:rPr>
      </w:pPr>
    </w:p>
    <w:p w14:paraId="45B0DFE9" w14:textId="77777777" w:rsidR="0071288E" w:rsidRDefault="0071288E" w:rsidP="0071288E">
      <w:pPr>
        <w:jc w:val="center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 xml:space="preserve">Технічна специфікація та медико-технічні вимоги </w:t>
      </w:r>
    </w:p>
    <w:p w14:paraId="2D8AC3E3" w14:textId="566969C0" w:rsidR="0071288E" w:rsidRDefault="0071288E" w:rsidP="0071288E">
      <w:pPr>
        <w:jc w:val="center"/>
        <w:rPr>
          <w:rFonts w:eastAsia="Arial Unicode MS"/>
          <w:b/>
          <w:bCs/>
          <w:color w:val="000000"/>
          <w:sz w:val="22"/>
          <w:szCs w:val="22"/>
          <w:u w:val="single" w:color="000000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>до предмету закупівлі</w:t>
      </w:r>
      <w:r w:rsidR="00810198"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uk-UA" w:eastAsia="uk-UA"/>
        </w:rPr>
        <w:t xml:space="preserve"> </w:t>
      </w:r>
    </w:p>
    <w:p w14:paraId="2161DE7C" w14:textId="5B55D61E" w:rsidR="0071288E" w:rsidRDefault="00696779" w:rsidP="0071288E">
      <w:pPr>
        <w:tabs>
          <w:tab w:val="left" w:pos="3795"/>
        </w:tabs>
        <w:jc w:val="center"/>
        <w:rPr>
          <w:rFonts w:eastAsia="Arial Unicode MS"/>
          <w:i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r w:rsidR="0071288E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(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Amiodarone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Ascorbic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acid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(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vit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C),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Ascorbic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acid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(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vit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C),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Amoxicillin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and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beta-lactamase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inhibitor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Ammonia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Aqua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pro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injectioni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Dexamethasone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Digoxin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Enoxaparin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Enoxaparin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Fondaparinux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Insulin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(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human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),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Glyceryl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trinitrate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Glucose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Hydrocortisone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Hydrochlorothiazide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Lidocaine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Urapidil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Magnesium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sulfate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Metoclopramide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Metamizole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sodium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Naloxone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Omeprazole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Ondansetron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Prednisolone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Budesonide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Tiotropium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bromide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Piracetam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Tranexamic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acid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Timolol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Chlorhexidine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Captopril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and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diuretics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Carvedilol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Verapamil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Cefazolin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Cefotaxime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Ceftriaxone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Cefepime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Cyanocobalamin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Ceftazidime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Diclofenac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Drotaverine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Isosorbide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dinitrate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Furosemide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Pentoxifylline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Calcium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gluconate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Pilocarpine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Povidone-iodine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Tropicamide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Haloperidol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Bupivacaine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Bupivacaine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Gentamicin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Arginine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glutamate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Azithromycin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Adenosine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Papaverine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Azithromycin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Diphenhydramine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Ketorolac</w:t>
      </w:r>
      <w:proofErr w:type="spellEnd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0F750F" w:rsidRPr="000F750F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Latanoprost</w:t>
      </w:r>
      <w:proofErr w:type="spellEnd"/>
      <w:r w:rsidR="00D84C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D84C63" w:rsidRPr="00D84C63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Paracetamol</w:t>
      </w:r>
      <w:proofErr w:type="spellEnd"/>
      <w:r w:rsidR="00E56262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E56262" w:rsidRPr="00E56262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Ethanol</w:t>
      </w:r>
      <w:proofErr w:type="spellEnd"/>
      <w:r w:rsidR="00E56262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, </w:t>
      </w:r>
      <w:proofErr w:type="spellStart"/>
      <w:r w:rsidR="00E56262" w:rsidRPr="00E56262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Ethanol</w:t>
      </w:r>
      <w:proofErr w:type="spellEnd"/>
      <w:r w:rsidR="0071288E">
        <w:rPr>
          <w:rFonts w:eastAsia="Arial Unicode MS"/>
          <w:b/>
          <w:bCs/>
          <w:i/>
          <w:color w:val="000000"/>
          <w:sz w:val="22"/>
          <w:szCs w:val="22"/>
          <w:bdr w:val="none" w:sz="0" w:space="0" w:color="auto" w:frame="1"/>
          <w:lang w:val="uk-UA" w:eastAsia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898"/>
        <w:gridCol w:w="3566"/>
        <w:gridCol w:w="1311"/>
        <w:gridCol w:w="1275"/>
      </w:tblGrid>
      <w:tr w:rsidR="0071288E" w14:paraId="7756A2F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F74A" w14:textId="77777777" w:rsidR="0071288E" w:rsidRDefault="0071288E">
            <w:pPr>
              <w:tabs>
                <w:tab w:val="left" w:pos="3795"/>
              </w:tabs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AD39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Міжнародна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непатентована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74A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Форма </w:t>
            </w:r>
            <w:proofErr w:type="spellStart"/>
            <w:r>
              <w:rPr>
                <w:b/>
                <w:bCs/>
                <w:color w:val="000000"/>
              </w:rPr>
              <w:t>випуску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дозування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3BF1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Одиниці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257" w14:textId="77777777" w:rsidR="0071288E" w:rsidRDefault="007128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</w:tr>
      <w:tr w:rsidR="000F750F" w:rsidRPr="000F750F" w14:paraId="03ABAD0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F4B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0AF" w14:textId="6C485AEE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Аміодарон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Amiodarone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9448" w14:textId="2ED5522D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50 мг/мл по 3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7C86" w14:textId="48BE499C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FF3" w14:textId="471AC787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F750F" w:rsidRPr="000F750F" w14:paraId="359D95CE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D07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231" w14:textId="6965686C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r w:rsidRPr="000F750F">
              <w:rPr>
                <w:color w:val="000000"/>
                <w:sz w:val="22"/>
                <w:szCs w:val="22"/>
                <w:lang w:val="uk-UA"/>
              </w:rPr>
              <w:t>Аскорбінова кислота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Ascorbic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acid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vit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F750F">
              <w:rPr>
                <w:color w:val="000000"/>
                <w:sz w:val="22"/>
                <w:szCs w:val="22"/>
              </w:rPr>
              <w:t>C</w:t>
            </w:r>
            <w:r w:rsidRPr="000F750F">
              <w:rPr>
                <w:color w:val="000000"/>
                <w:sz w:val="22"/>
                <w:szCs w:val="22"/>
                <w:lang w:val="uk-UA"/>
              </w:rPr>
              <w:t>))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3F7" w14:textId="7263E407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50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D1D" w14:textId="7D2FD6DA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F31" w14:textId="2F526235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50F" w:rsidRPr="000F750F" w14:paraId="08710DF6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2DA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FF4B" w14:textId="068E4C38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r w:rsidRPr="000F750F">
              <w:rPr>
                <w:color w:val="000000"/>
                <w:sz w:val="22"/>
                <w:szCs w:val="22"/>
                <w:lang w:val="uk-UA"/>
              </w:rPr>
              <w:t>Аскорбінова кислота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Ascorbic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acid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vit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0F750F">
              <w:rPr>
                <w:color w:val="000000"/>
                <w:sz w:val="22"/>
                <w:szCs w:val="22"/>
              </w:rPr>
              <w:t>C</w:t>
            </w:r>
            <w:r w:rsidRPr="000F750F">
              <w:rPr>
                <w:color w:val="000000"/>
                <w:sz w:val="22"/>
                <w:szCs w:val="22"/>
                <w:lang w:val="uk-UA"/>
              </w:rPr>
              <w:t>))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8ABB" w14:textId="1C0EC654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100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0165" w14:textId="7DDB5104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B40" w14:textId="61BFF1C0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750F" w:rsidRPr="000F750F" w14:paraId="12938565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352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065" w14:textId="1BAA30CA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  <w:lang w:val="uk-UA"/>
              </w:rPr>
              <w:t>Амоксицилін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+ </w:t>
            </w:r>
            <w:proofErr w:type="spellStart"/>
            <w:r w:rsidRPr="000F750F">
              <w:rPr>
                <w:color w:val="000000"/>
                <w:sz w:val="22"/>
                <w:szCs w:val="22"/>
                <w:lang w:val="uk-UA"/>
              </w:rPr>
              <w:t>клавуланова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кислота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Amoxicillin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beta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lactamase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inhibitor</w:t>
            </w:r>
            <w:proofErr w:type="spellEnd"/>
            <w:r w:rsidRPr="000F750F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30E" w14:textId="6B1E6748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1,2 г порошку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B0C" w14:textId="086D3450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8D4" w14:textId="607C9DFA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0F750F" w:rsidRPr="000F750F" w14:paraId="564C3199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824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C9C" w14:textId="27C57383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Аміаку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Ammonia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D37" w14:textId="5CED2D73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10 % по 100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A13" w14:textId="11F56BD9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59A" w14:textId="0F3719DC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F750F" w:rsidRPr="000F750F" w14:paraId="38743E90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D74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0EF" w14:textId="4FE7BEF9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r w:rsidRPr="000F750F">
              <w:rPr>
                <w:color w:val="000000"/>
                <w:sz w:val="22"/>
                <w:szCs w:val="22"/>
              </w:rPr>
              <w:t>Вода</w:t>
            </w:r>
            <w:r w:rsidRPr="000F75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F750F">
              <w:rPr>
                <w:color w:val="000000"/>
                <w:sz w:val="22"/>
                <w:szCs w:val="22"/>
              </w:rPr>
              <w:t>для</w:t>
            </w:r>
            <w:r w:rsidRPr="000F750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</w:t>
            </w:r>
            <w:proofErr w:type="spellEnd"/>
            <w:r w:rsidRPr="000F750F">
              <w:rPr>
                <w:color w:val="000000"/>
                <w:sz w:val="22"/>
                <w:szCs w:val="22"/>
                <w:lang w:val="en-US"/>
              </w:rPr>
              <w:t>’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єкцій</w:t>
            </w:r>
            <w:proofErr w:type="spellEnd"/>
            <w:r w:rsidRPr="000F750F">
              <w:rPr>
                <w:color w:val="000000"/>
                <w:sz w:val="22"/>
                <w:szCs w:val="22"/>
                <w:lang w:val="en-US"/>
              </w:rPr>
              <w:t xml:space="preserve"> (Aqua pro </w:t>
            </w:r>
            <w:proofErr w:type="spellStart"/>
            <w:r w:rsidRPr="000F750F">
              <w:rPr>
                <w:color w:val="000000"/>
                <w:sz w:val="22"/>
                <w:szCs w:val="22"/>
                <w:lang w:val="en-US"/>
              </w:rPr>
              <w:t>injectioni</w:t>
            </w:r>
            <w:proofErr w:type="spellEnd"/>
            <w:r w:rsidRPr="000F750F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59D6" w14:textId="08963D30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Розчинник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приготування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ін’єкцій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5EDA" w14:textId="06B60F0A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1A1" w14:textId="116BB9BE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750F" w:rsidRPr="000F750F" w14:paraId="5590E2CE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251" w14:textId="77777777" w:rsidR="000F750F" w:rsidRDefault="000F750F" w:rsidP="00A74362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C9E" w14:textId="6CC16FF5" w:rsidR="000F750F" w:rsidRPr="000F750F" w:rsidRDefault="000F750F">
            <w:pPr>
              <w:jc w:val="center"/>
              <w:rPr>
                <w:sz w:val="22"/>
                <w:szCs w:val="22"/>
                <w:lang w:val="uk-UA"/>
              </w:rPr>
            </w:pPr>
            <w:r w:rsidRPr="000F750F">
              <w:rPr>
                <w:color w:val="000000"/>
                <w:sz w:val="22"/>
                <w:szCs w:val="22"/>
              </w:rPr>
              <w:t>Дексаметазон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Deхamethasone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885" w14:textId="53F10436" w:rsidR="000F750F" w:rsidRPr="000F750F" w:rsidRDefault="000F750F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4 мг/мл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E82D" w14:textId="603B6F58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997" w14:textId="632B7A1A" w:rsidR="000F750F" w:rsidRPr="000F750F" w:rsidRDefault="000F750F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47B39" w:rsidRPr="000F750F" w14:paraId="597B074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045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E2A" w14:textId="3C8DF4EE" w:rsidR="00647B39" w:rsidRPr="000F750F" w:rsidRDefault="00647B39" w:rsidP="00647B3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Еноксапарин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Enoхaparin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7EB" w14:textId="2CFA2EBF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10000 анти-Ха МО/мл; по 0,4 мл (4000 анти-Ха МО)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шприці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0DC" w14:textId="14E01887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47E" w14:textId="74199CED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4B5B1E55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E8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58FE" w14:textId="15A61E8B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Еноксапарин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Enoхaparin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65A" w14:textId="20EE8A4C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10000 анти-Ха МО/мл; по 0,8 мл (8000 анти-Ха МО)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шприці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883" w14:textId="7A3C4A3E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DCE" w14:textId="75F9150C" w:rsidR="00647B39" w:rsidRPr="000F750F" w:rsidRDefault="00647B39" w:rsidP="00647B39">
            <w:pPr>
              <w:jc w:val="center"/>
              <w:rPr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47B39" w:rsidRPr="000F750F" w14:paraId="71167E93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41F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438F" w14:textId="6FA9562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Фондапаринукс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Fondaparinux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48F" w14:textId="4E5C276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ін`єкцій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2,5 мг/0,5 мл по 0,5 мл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шприці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A52" w14:textId="4060B4F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5BE" w14:textId="590C69E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47B39" w:rsidRPr="000F750F" w14:paraId="780FAC6D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528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223" w14:textId="4C47F03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Інсулін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Insulin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human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740E" w14:textId="7ED7C01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, 100 МО/мл по 10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0AC" w14:textId="35F0A56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9A2E" w14:textId="6C05DD5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47B39" w:rsidRPr="000F750F" w14:paraId="25B06EB9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22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2C2" w14:textId="3809680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Нітрогліцерин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Glyceryl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trinitrate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CFD" w14:textId="5BE81C4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Таблетки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сублінгвальні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0,5 мг №40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BECE" w14:textId="7291737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6D" w14:textId="51073B0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47B39" w:rsidRPr="000F750F" w14:paraId="7864DF8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59F2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A110" w14:textId="1D70483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F750F">
              <w:rPr>
                <w:color w:val="000000"/>
                <w:sz w:val="22"/>
                <w:szCs w:val="22"/>
              </w:rPr>
              <w:t>Глюкоза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Glucose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7F1" w14:textId="778E790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40 % по 10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3B6" w14:textId="2FC6241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4893" w14:textId="5F6252E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7B39" w:rsidRPr="000F750F" w14:paraId="6D6F3A6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970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26D" w14:textId="5A1340A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Гідрокортизон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Hydrocortisone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949" w14:textId="2FA3631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Суспензія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2,5 %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F9E" w14:textId="2A1D33D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208" w14:textId="3D5A615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27C8D3CE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3F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D29" w14:textId="4F556D8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Гідрохлортіазід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Hydroclorthiazide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7ABC" w14:textId="1B58620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Таблетки по 25 мг №20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B04" w14:textId="28B4D1E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7CD" w14:textId="3BE44E7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47B39" w:rsidRPr="000F750F" w14:paraId="1202D090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72D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C19" w14:textId="40A3587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Лідокаїн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Lidocaine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393" w14:textId="5585A54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20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A5BC" w14:textId="0322325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424" w14:textId="51F116A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47B39" w:rsidRPr="000F750F" w14:paraId="59381F9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EE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1F6" w14:textId="28FE0A1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Урапідил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Urapidil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459" w14:textId="34D5D88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 мг/мл по 10 мл (50 мг)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 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F72" w14:textId="0AE10B3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E95" w14:textId="7677F1B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7B39" w:rsidRPr="000F750F" w14:paraId="34943BB2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5FF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1226" w14:textId="728167F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Магнію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сульфат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Magnesium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sulfate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5D5" w14:textId="697EC1F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250 мг/мл, по 5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0AD" w14:textId="3EE3894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4CF" w14:textId="3A16484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16657AA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E4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870" w14:textId="03DEA8D4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Метоклопрамід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Metoclopramide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CB3" w14:textId="0FFF7DD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 мг/мл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A1F7" w14:textId="578C97F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7300" w14:textId="47AEFBA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647B39" w:rsidRPr="000F750F" w14:paraId="09F59C78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6E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17B1" w14:textId="1EF836F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Метамізол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натрію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Metamizole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sodium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A59" w14:textId="336175A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500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B7F" w14:textId="3CEB4BE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7F1" w14:textId="29CCAF2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47B39" w:rsidRPr="000F750F" w14:paraId="2909C21D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2E5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25F" w14:textId="2C67F56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Налоксон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Naloxone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EA3" w14:textId="2B3F78B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0,4 мг/мл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891" w14:textId="3D07ED8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12BD" w14:textId="74316D4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7B39" w:rsidRPr="000F750F" w14:paraId="3E432620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94B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007" w14:textId="273B017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Омепразол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Omeprazole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5B7" w14:textId="1DB3C14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40 мг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770" w14:textId="140B214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91A" w14:textId="0A08822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647B39" w:rsidRPr="000F750F" w14:paraId="0D34323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19D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3F0" w14:textId="0374DD9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Ондансетрон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Ondansetron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A6D" w14:textId="3565CD2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 мг/мл по 4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215" w14:textId="1D7B850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1E0" w14:textId="26ABBBD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647B39" w:rsidRPr="000F750F" w14:paraId="4AE8D477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E357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159" w14:textId="255297A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Преднізолон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Prednisolone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BA1" w14:textId="6C8FB18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30 мг/мл,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9B3" w14:textId="5F99C70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564" w14:textId="2974581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0909EEE0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7B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A95" w14:textId="6F64455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Будесонід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Budesonide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B53" w14:textId="74C421E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Суспензія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розпилення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0,5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однодозовому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контейнері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6C9" w14:textId="2355369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960" w14:textId="171B339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47B39" w:rsidRPr="000F750F" w14:paraId="5283F257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80A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9344" w14:textId="099601D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Тіотропію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бромід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Tiotropium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bromide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9D86" w14:textId="5AD074F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інгаляцій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тверді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капсули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18 мкг №30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0740" w14:textId="0A24BB0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FD5" w14:textId="3E276FA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7B39" w:rsidRPr="000F750F" w14:paraId="74BC987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483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E9B" w14:textId="09F251E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Пірацетам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Piracetam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120E" w14:textId="303CB94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200 мг/мл по 5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8371" w14:textId="249D832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7684" w14:textId="49BD7A9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647B39" w:rsidRPr="000F750F" w14:paraId="0B9642D4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E5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9F0" w14:textId="05158DC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Транексанова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кислота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Tranexamic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acid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E14" w14:textId="26ED2D1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ін’єкцій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100 мг/мл по 5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2B4" w14:textId="73E69ED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A45" w14:textId="7169A59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47B39" w:rsidRPr="000F750F" w14:paraId="1B7D549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BD2A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0EA" w14:textId="7D0307F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Тимолол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Timolol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14BE" w14:textId="78568FA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Краплі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очні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 мг/мл по 5 мл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76F" w14:textId="2BD13D8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DFD2" w14:textId="153136E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47B39" w:rsidRPr="000F750F" w14:paraId="68610C4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1955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AE6" w14:textId="1C135EB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Хлоргексидин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Chlorhexidine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7C2A" w14:textId="2E25211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0,05 % по 100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C3C" w14:textId="6173594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D61" w14:textId="2135D90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647B39" w:rsidRPr="000F750F" w14:paraId="67383F73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27F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AAA" w14:textId="29D3DDA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Гідрохлоротіазид</w:t>
            </w:r>
            <w:proofErr w:type="spellEnd"/>
            <w:r w:rsidRPr="000F750F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каптоприл</w:t>
            </w:r>
            <w:proofErr w:type="spellEnd"/>
            <w:r w:rsidRPr="000F750F">
              <w:rPr>
                <w:color w:val="000000"/>
                <w:sz w:val="22"/>
                <w:szCs w:val="22"/>
                <w:lang w:val="en-US"/>
              </w:rPr>
              <w:t xml:space="preserve"> (Captopril and diuretics)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55F" w14:textId="3FEA152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Таблетки №20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97E" w14:textId="123B0ED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883" w14:textId="7EB5A12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47B39" w:rsidRPr="000F750F" w14:paraId="0575E8E9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E7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E1F" w14:textId="18F52F5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Карведілол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Carvedilol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E20" w14:textId="1125D6F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Таблетки,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вкриті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плівковою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оболонкою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, по 12,5 мг №30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CEB" w14:textId="73B4FB6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7C6" w14:textId="011D7C4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7B39" w:rsidRPr="000F750F" w14:paraId="70D9F274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35E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209" w14:textId="633686B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Верапаміл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Verapamil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AE5" w14:textId="3DDBE8A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2,5 мг/мл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50D" w14:textId="3879853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FBD" w14:textId="52A997B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Pr="000F750F">
              <w:rPr>
                <w:color w:val="000000"/>
                <w:sz w:val="22"/>
                <w:szCs w:val="22"/>
              </w:rPr>
              <w:t>00</w:t>
            </w:r>
          </w:p>
        </w:tc>
      </w:tr>
      <w:tr w:rsidR="00647B39" w:rsidRPr="000F750F" w14:paraId="04FB15AC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BCC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E8B" w14:textId="3D18FFB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Цефазолін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Cefazolin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67BD" w14:textId="031620F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ін`єкцій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1,0 г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76C" w14:textId="02FB5A4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6427" w14:textId="7FC3389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7B39" w:rsidRPr="000F750F" w14:paraId="623C7FD8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51F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AF2" w14:textId="7F60330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Cefotaxime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24C" w14:textId="28917A5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1,0 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152B" w14:textId="700E3DE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802" w14:textId="6D68D36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47B39" w:rsidRPr="000F750F" w14:paraId="7083628D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AFF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C99" w14:textId="698206A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Цефтріаксон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Ceftriaхone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9C1" w14:textId="3C4538F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1,0 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6896" w14:textId="46A7137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CC7" w14:textId="12A30E8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17500</w:t>
            </w:r>
          </w:p>
        </w:tc>
      </w:tr>
      <w:tr w:rsidR="00647B39" w:rsidRPr="000F750F" w14:paraId="53811C5D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218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DB0" w14:textId="1472324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Цефепім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Cefepime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0E6" w14:textId="7BFECB3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по 1000 мг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5132" w14:textId="78C5FFF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EED" w14:textId="5EFADAB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647B39" w:rsidRPr="000F750F" w14:paraId="1248DCFC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32F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2A0" w14:textId="58A65D4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Ціанокобаламін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Cyanocobalamin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1B8" w14:textId="0156283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0,5 мг/мл,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F28" w14:textId="6152A11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E07" w14:textId="39FC10D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7B39" w:rsidRPr="000F750F" w14:paraId="4C52609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8EE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F8F" w14:textId="161F8AC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Цефтазидим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Ceftazidime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10E" w14:textId="531B0F3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Порошок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1,0 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4117" w14:textId="5023898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261" w14:textId="7E608E2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47B39" w:rsidRPr="000F750F" w14:paraId="5EA7C91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75B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6EAF" w14:textId="593A8D9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Диклофенак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Diclofenac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F74" w14:textId="3657AE4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ін’єкцій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25 мг/мл по 3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19B" w14:textId="5CC4D4D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054" w14:textId="0627400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47B39" w:rsidRPr="000F750F" w14:paraId="7B158873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EE2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BA0" w14:textId="2ACF742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Дротаверин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Drotaverine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374" w14:textId="73A6E2F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20 мг/мл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A2D" w14:textId="645CFFE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3C72" w14:textId="5ED3392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47B39" w:rsidRPr="000F750F" w14:paraId="3DF8961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155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9A3" w14:textId="6843A7D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Ізосорбіду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динітрат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Isosorbidе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dinitrate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14D" w14:textId="068BB35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Концентрат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інфузій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 мг/мл, по 10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BDB4" w14:textId="386AB85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8E37" w14:textId="712F996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647B39" w:rsidRPr="000F750F" w14:paraId="1019DCF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B51A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56FF" w14:textId="4A1C170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Фуросемід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Furosemide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974" w14:textId="32AC138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 мг/мл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170" w14:textId="0E75ED6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254E" w14:textId="5D2217B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647B39" w:rsidRPr="000F750F" w14:paraId="3C978CD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C130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7E7" w14:textId="7FF5566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Пентоксифілін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Pentoxifylline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E1C" w14:textId="02013FE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інфузій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, 0,5 мг/мл по 200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862B" w14:textId="04FC821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BF8" w14:textId="66168C2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647B39" w:rsidRPr="000F750F" w14:paraId="0734DEC3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67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A2C" w14:textId="0A0BE46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Кальцію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глюконат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Calcium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gluconate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F26" w14:textId="0545D14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100 мг/мл по 10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DB04" w14:textId="627A81C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1AB8" w14:textId="10D1D29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647B39" w:rsidRPr="000F750F" w14:paraId="373E541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06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B0F" w14:textId="5C87B04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Пілокарпін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Pilocarpine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FE8D" w14:textId="5C82AF6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Краплі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очні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 мг/мл по 10 мл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896" w14:textId="1C907FF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BE1" w14:textId="6E8A671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47B39" w:rsidRPr="000F750F" w14:paraId="35723AAC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0C0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F16" w14:textId="4EA101C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Повідон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йод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Povidone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iodine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10B" w14:textId="11CEA3F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10 % по 120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B280" w14:textId="3F73E3D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87D" w14:textId="5BF864A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47B39" w:rsidRPr="000F750F" w14:paraId="31BB1B57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41F2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BE" w14:textId="633B3C2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Тропікамід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Tropicamide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7F9" w14:textId="728089C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Краплі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очні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1 % по 10 мл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1DA" w14:textId="4833563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374" w14:textId="747E4BA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47B39" w:rsidRPr="000F750F" w14:paraId="50E18861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1B15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D210" w14:textId="2C29F654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Галоперидол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Haloperidol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D0E" w14:textId="60DBBD1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5 мг/мл,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BD8" w14:textId="68F3287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0DAD" w14:textId="53649E7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47B39" w:rsidRPr="000F750F" w14:paraId="01177239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7BD0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350" w14:textId="56204CBD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Бупівакаїн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Bupivacaine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B5A" w14:textId="302CE520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ін`єкцій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, по 5 мг/мл; по 5 мл у флаконах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CFD" w14:textId="455EB6C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1F6" w14:textId="5D967B9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7A616BE2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7C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A169" w14:textId="7110D38E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Бупівакаїн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Bupivacaine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1BF" w14:textId="2D90DE2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ін`єкцій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, по 5 мг/мл по 20 мл у флаконах №5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CF8" w14:textId="29A769D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DE2" w14:textId="1694379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647B39" w:rsidRPr="000F750F" w14:paraId="2536CE3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290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F43" w14:textId="4F26926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Гентаміцин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Gentamicin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AE3" w14:textId="15CC13E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40 мг/мл,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B698" w14:textId="5124302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FEB" w14:textId="74581A9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47B39" w:rsidRPr="000F750F" w14:paraId="68E37B7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A6E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C71" w14:textId="7300E53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Глутаргін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Arginine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glutamate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5E7" w14:textId="0465C75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Концентрат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інфузій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400 мг/мл по 5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BA5D" w14:textId="4F9D518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6DC3" w14:textId="614CE08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47B39" w:rsidRPr="000F750F" w14:paraId="5038C516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041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AE7F" w14:textId="5D4FC33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Азитроміцин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Azithromycin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12A7" w14:textId="5800D2B8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Краплі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очні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15 мг/г по 250 мг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однодозовому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контейнері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CAE" w14:textId="32A0D07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3EE" w14:textId="5E69FCC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47B39" w:rsidRPr="000F750F" w14:paraId="6FA13EEE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328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432" w14:textId="231279A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 xml:space="preserve"> Аденозин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Adenosine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D4F" w14:textId="16D24AC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 мг/мл,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F03" w14:textId="1C8B438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296" w14:textId="25A980D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47B39" w:rsidRPr="000F750F" w14:paraId="3962172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5BA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F47" w14:textId="72C04477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Папаверин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Papaverine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044" w14:textId="550F884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20 мг/мл по 2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F064" w14:textId="4FED1AE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54E" w14:textId="562F33A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47B39" w:rsidRPr="000F750F" w14:paraId="3AC88264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213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78A" w14:textId="6BDDEFB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Азітроміцин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Azithromycin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DB4B" w14:textId="3C428CC9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Капсули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по 500 мг №3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4FE" w14:textId="601FC92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1ED" w14:textId="3E7561C5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647B39" w:rsidRPr="000F750F" w14:paraId="55DFA96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CA33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457" w14:textId="383492AA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Димедрол(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Diphenhydramine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831" w14:textId="53EB6444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10 мг/мл;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992" w14:textId="08725CBF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E199" w14:textId="265CCF4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47B39" w:rsidRPr="000F750F" w14:paraId="0387DFBF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7F4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BD8" w14:textId="518879A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Кетолонг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Кetorolac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865E" w14:textId="7BAF277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ін'єкцій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, 30 мг/мл, по 1 мл в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ампулі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23C" w14:textId="09893A5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101C" w14:textId="708F4A0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47B39" w:rsidRPr="000F750F" w14:paraId="7D255275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609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468D" w14:textId="44170FFC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Латанопрост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Latanoprost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178" w14:textId="43CD078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F750F">
              <w:rPr>
                <w:color w:val="000000"/>
                <w:sz w:val="22"/>
                <w:szCs w:val="22"/>
              </w:rPr>
              <w:t>Краплі</w:t>
            </w:r>
            <w:proofErr w:type="spellEnd"/>
            <w:r w:rsidRPr="000F750F">
              <w:rPr>
                <w:color w:val="000000"/>
                <w:sz w:val="22"/>
                <w:szCs w:val="22"/>
              </w:rPr>
              <w:t xml:space="preserve"> 0,05 мг/мл, по 2,5 мл у </w:t>
            </w:r>
            <w:proofErr w:type="spellStart"/>
            <w:r w:rsidRPr="000F750F">
              <w:rPr>
                <w:color w:val="000000"/>
                <w:sz w:val="22"/>
                <w:szCs w:val="22"/>
              </w:rPr>
              <w:t>флаконі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C72" w14:textId="2BA746E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F91" w14:textId="4B57B281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47B39" w:rsidRPr="000F750F" w14:paraId="4A42E2A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7482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5BD8" w14:textId="5C1BC2B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D84C63">
              <w:rPr>
                <w:color w:val="000000"/>
                <w:sz w:val="22"/>
                <w:szCs w:val="22"/>
              </w:rPr>
              <w:t>Парацетамол (</w:t>
            </w:r>
            <w:proofErr w:type="spellStart"/>
            <w:r w:rsidRPr="00C06062">
              <w:rPr>
                <w:color w:val="000000"/>
                <w:sz w:val="22"/>
                <w:szCs w:val="22"/>
              </w:rPr>
              <w:t>Paracetamol</w:t>
            </w:r>
            <w:proofErr w:type="spellEnd"/>
            <w:r w:rsidRPr="00D84C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54A" w14:textId="72651B3B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84C63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D84C63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D84C63">
              <w:rPr>
                <w:color w:val="000000"/>
                <w:sz w:val="22"/>
                <w:szCs w:val="22"/>
              </w:rPr>
              <w:t>інфузій</w:t>
            </w:r>
            <w:proofErr w:type="spellEnd"/>
            <w:r w:rsidRPr="00D84C63">
              <w:rPr>
                <w:color w:val="000000"/>
                <w:sz w:val="22"/>
                <w:szCs w:val="22"/>
              </w:rPr>
              <w:t xml:space="preserve">, по 10 мг/мл, по 100 мл у </w:t>
            </w:r>
            <w:proofErr w:type="spellStart"/>
            <w:r w:rsidRPr="00D84C63">
              <w:rPr>
                <w:color w:val="000000"/>
                <w:sz w:val="22"/>
                <w:szCs w:val="22"/>
              </w:rPr>
              <w:t>флаконі</w:t>
            </w:r>
            <w:proofErr w:type="spellEnd"/>
            <w:r w:rsidRPr="00D84C63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6DC" w14:textId="58D47C82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B1DB" w14:textId="300A7785" w:rsidR="00647B39" w:rsidRPr="00956E13" w:rsidRDefault="00647B39" w:rsidP="00647B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647B39" w:rsidRPr="000F750F" w14:paraId="611C12AB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95C6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BD8B" w14:textId="43627F29" w:rsidR="00647B39" w:rsidRPr="00D84C63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6262">
              <w:rPr>
                <w:color w:val="000000"/>
                <w:sz w:val="22"/>
                <w:szCs w:val="22"/>
              </w:rPr>
              <w:t>Етанол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6262">
              <w:rPr>
                <w:color w:val="000000"/>
                <w:sz w:val="22"/>
                <w:szCs w:val="22"/>
              </w:rPr>
              <w:t>Ethanol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DFF" w14:textId="0233A100" w:rsidR="00647B39" w:rsidRPr="00D84C63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E56262">
              <w:rPr>
                <w:color w:val="000000"/>
                <w:sz w:val="22"/>
                <w:szCs w:val="22"/>
              </w:rPr>
              <w:t>озчин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56262">
              <w:rPr>
                <w:color w:val="000000"/>
                <w:sz w:val="22"/>
                <w:szCs w:val="22"/>
              </w:rPr>
              <w:t>зовнішнього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6262"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70 % по 100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D42" w14:textId="67C03476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CED" w14:textId="28D589BC" w:rsidR="00647B39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647B39" w:rsidRPr="000F750F" w14:paraId="42E2A347" w14:textId="77777777" w:rsidTr="00647B3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83CA" w14:textId="77777777" w:rsidR="00647B39" w:rsidRDefault="00647B39" w:rsidP="00647B39">
            <w:pPr>
              <w:numPr>
                <w:ilvl w:val="0"/>
                <w:numId w:val="1"/>
              </w:numPr>
              <w:tabs>
                <w:tab w:val="left" w:pos="3795"/>
              </w:tabs>
              <w:spacing w:line="276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0"/>
                <w:sz w:val="22"/>
                <w:szCs w:val="22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999" w14:textId="6739CABA" w:rsidR="00647B39" w:rsidRPr="00D84C63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6262">
              <w:rPr>
                <w:color w:val="000000"/>
                <w:sz w:val="22"/>
                <w:szCs w:val="22"/>
              </w:rPr>
              <w:t>Етанол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6262">
              <w:rPr>
                <w:color w:val="000000"/>
                <w:sz w:val="22"/>
                <w:szCs w:val="22"/>
              </w:rPr>
              <w:t>Ethanol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6BC8" w14:textId="75876196" w:rsidR="00647B39" w:rsidRPr="00D84C63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E56262">
              <w:rPr>
                <w:color w:val="000000"/>
                <w:sz w:val="22"/>
                <w:szCs w:val="22"/>
              </w:rPr>
              <w:t>озчин</w:t>
            </w:r>
            <w:proofErr w:type="spellEnd"/>
            <w:r w:rsidRPr="00E5626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застосування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96 </w:t>
            </w:r>
            <w:r w:rsidRPr="00E56262">
              <w:rPr>
                <w:color w:val="000000"/>
                <w:sz w:val="22"/>
                <w:szCs w:val="22"/>
              </w:rPr>
              <w:t>% по 100 мл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B266" w14:textId="53A98163" w:rsidR="00647B39" w:rsidRPr="000F750F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 w:rsidRPr="000F750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541" w14:textId="2311B1D0" w:rsidR="00647B39" w:rsidRDefault="00647B39" w:rsidP="00647B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</w:tbl>
    <w:p w14:paraId="01A77E85" w14:textId="77777777" w:rsidR="0071288E" w:rsidRDefault="0071288E" w:rsidP="0071288E">
      <w:pP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11AD6D6A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Усі лікарські засоби повинні бути зареєстровані в Україні.</w:t>
      </w:r>
    </w:p>
    <w:p w14:paraId="454B3EB8" w14:textId="618FF2DC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Строк придатності товару на момент поставки Замовнику повинен становити не менше 75%  від загального строку придатності. Якщо кількість предмета закуп</w:t>
      </w:r>
      <w:r w:rsidR="008E52A8"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івлі становить або перевищує 200</w:t>
      </w: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одиниць виміру, надати оригінал гарантійного листа виробника(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ів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) (представника, представництва, філії виробника - якщо їх відповідні повноваження поширюються на територію України, уповноваженого на це виробником), заявника державної реєстрації лікарського засобу, офіційного дистриб’ютора, яким підтверджується можливість поставки з відповідними термінами придатності, визначеними цією тендерною документацію та тендерною пропозицією учасника торгів (з наданням підтверджуючих документів щодо таких повноважень для представника, представництва, філії виробника, офіційного дистриб’ютора у вигляді довіреностей, 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авторизаційних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листів щодо представництва/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дистриб’юції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). Гарантійний лист/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авторизаційний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лист щодо 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дистриб'юції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повинен місити назву замовника, номер оголошення та кількість товару</w:t>
      </w:r>
    </w:p>
    <w:p w14:paraId="72B1FB8F" w14:textId="77777777" w:rsidR="0071288E" w:rsidRDefault="0071288E" w:rsidP="0071288E">
      <w:pPr>
        <w:numPr>
          <w:ilvl w:val="0"/>
          <w:numId w:val="2"/>
        </w:numPr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Учасник вправі запропонувати еквівалент препарату, </w:t>
      </w:r>
      <w:proofErr w:type="spellStart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заначеному</w:t>
      </w:r>
      <w:proofErr w:type="spellEnd"/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 в технічній специфікації. В разі подання еквіваленту на лікарські засоби, що закуповуються, учасник повинен детально розписати порівняльну характеристику.  </w:t>
      </w:r>
    </w:p>
    <w:p w14:paraId="310C95E2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Якість товару повинна відповідати діючим на території України державним стандартам, кожна партія підтверджується сертифікатами якості виробника, що будуть надані при поставці.</w:t>
      </w:r>
    </w:p>
    <w:p w14:paraId="4ADEDF89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>Поставка автотранспортом Учасника та за його рахунок, з дотриманням ліцензійних умов з наявності дозвільних документів на перевезення лікарських засобів та товарно-транспортної накладної. Постачальник зобов’язаний поставляти товар згідно вимог (заявок) в асортименті та кількості зазначеній в технічній специфікації та медико-технічних вимог до предмету закупівлі.</w:t>
      </w:r>
    </w:p>
    <w:p w14:paraId="63325BD7" w14:textId="77777777" w:rsidR="0071288E" w:rsidRDefault="0071288E" w:rsidP="0071288E">
      <w:pPr>
        <w:numPr>
          <w:ilvl w:val="0"/>
          <w:numId w:val="3"/>
        </w:numPr>
        <w:suppressAutoHyphens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lastRenderedPageBreak/>
        <w:t>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14:paraId="1DFA357A" w14:textId="77777777" w:rsidR="0071288E" w:rsidRDefault="0071288E" w:rsidP="0071288E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Поставка товару здійснюється  за адресою вказаною у проекті Договору. </w:t>
      </w:r>
    </w:p>
    <w:p w14:paraId="2918681A" w14:textId="206DB9E9" w:rsidR="00796479" w:rsidRDefault="0071288E" w:rsidP="0071288E">
      <w:pPr>
        <w:numPr>
          <w:ilvl w:val="0"/>
          <w:numId w:val="4"/>
        </w:num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  <w:r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  <w:t xml:space="preserve"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таким, що містить вираз «або еквівалент». </w:t>
      </w:r>
    </w:p>
    <w:p w14:paraId="2C81EA93" w14:textId="0F10D575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13D9AAFF" w14:textId="2081A2AC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284A7681" w14:textId="4BB0FA6B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5F83C69E" w14:textId="5D677CE1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662EA9A4" w14:textId="272ED39E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p w14:paraId="4A792279" w14:textId="242C6023" w:rsidR="00E04434" w:rsidRDefault="00E04434" w:rsidP="00E04434">
      <w:pPr>
        <w:spacing w:line="276" w:lineRule="auto"/>
        <w:contextualSpacing/>
        <w:jc w:val="both"/>
        <w:rPr>
          <w:rFonts w:eastAsia="Arial Unicode MS"/>
          <w:b/>
          <w:bCs/>
          <w:color w:val="000000"/>
          <w:sz w:val="22"/>
          <w:szCs w:val="22"/>
          <w:bdr w:val="none" w:sz="0" w:space="0" w:color="auto" w:frame="1"/>
          <w:lang w:val="uk-UA" w:eastAsia="uk-UA"/>
        </w:rPr>
      </w:pPr>
    </w:p>
    <w:sectPr w:rsidR="00E044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A42"/>
    <w:multiLevelType w:val="hybridMultilevel"/>
    <w:tmpl w:val="FFFFFFFF"/>
    <w:numStyleLink w:val="4"/>
  </w:abstractNum>
  <w:abstractNum w:abstractNumId="1" w15:restartNumberingAfterBreak="0">
    <w:nsid w:val="37712ACA"/>
    <w:multiLevelType w:val="hybridMultilevel"/>
    <w:tmpl w:val="FFFFFFFF"/>
    <w:styleLink w:val="6"/>
    <w:lvl w:ilvl="0" w:tplc="6072924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4B3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24A0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6BBE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2E2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E08A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8016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7AF8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B624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B24045C"/>
    <w:multiLevelType w:val="hybridMultilevel"/>
    <w:tmpl w:val="FFFFFFFF"/>
    <w:styleLink w:val="4"/>
    <w:lvl w:ilvl="0" w:tplc="FC0C029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3E6EEC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43B8C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287A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962F20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E8B5C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F24D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904F26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1E91B4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FEA25C6"/>
    <w:multiLevelType w:val="hybridMultilevel"/>
    <w:tmpl w:val="FFFFFFFF"/>
    <w:numStyleLink w:val="6"/>
  </w:abstractNum>
  <w:abstractNum w:abstractNumId="4" w15:restartNumberingAfterBreak="0">
    <w:nsid w:val="7DDB1429"/>
    <w:multiLevelType w:val="hybridMultilevel"/>
    <w:tmpl w:val="5714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858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578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555553">
    <w:abstractNumId w:val="0"/>
    <w:lvlOverride w:ilvl="0">
      <w:lvl w:ilvl="0" w:tplc="7BE20E84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DB64C3C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7A20432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0D0BF76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26CB62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CC86D44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7F67DE0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C309996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BFCED7EA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567"/>
          </w:tabs>
          <w:ind w:left="142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1446726432">
    <w:abstractNumId w:val="3"/>
  </w:num>
  <w:num w:numId="5" w16cid:durableId="204106215">
    <w:abstractNumId w:val="1"/>
  </w:num>
  <w:num w:numId="6" w16cid:durableId="1225484952">
    <w:abstractNumId w:val="2"/>
  </w:num>
  <w:num w:numId="7" w16cid:durableId="156791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6"/>
    <w:rsid w:val="000F4F3A"/>
    <w:rsid w:val="000F750F"/>
    <w:rsid w:val="002145EF"/>
    <w:rsid w:val="002B04DC"/>
    <w:rsid w:val="004E76B3"/>
    <w:rsid w:val="005E48E6"/>
    <w:rsid w:val="005E4A6D"/>
    <w:rsid w:val="00622CC2"/>
    <w:rsid w:val="00647B39"/>
    <w:rsid w:val="00696779"/>
    <w:rsid w:val="0071288E"/>
    <w:rsid w:val="00796479"/>
    <w:rsid w:val="00810198"/>
    <w:rsid w:val="008428EC"/>
    <w:rsid w:val="008E52A8"/>
    <w:rsid w:val="00956E13"/>
    <w:rsid w:val="00BD30AD"/>
    <w:rsid w:val="00C06062"/>
    <w:rsid w:val="00D74F5B"/>
    <w:rsid w:val="00D84B2C"/>
    <w:rsid w:val="00D84C63"/>
    <w:rsid w:val="00DE4F19"/>
    <w:rsid w:val="00E04434"/>
    <w:rsid w:val="00E56262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744F"/>
  <w15:docId w15:val="{67351FF8-DF84-4E2C-A957-11D513D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Импортированный стиль 6"/>
    <w:rsid w:val="0071288E"/>
    <w:pPr>
      <w:numPr>
        <w:numId w:val="5"/>
      </w:numPr>
    </w:pPr>
  </w:style>
  <w:style w:type="numbering" w:customStyle="1" w:styleId="4">
    <w:name w:val="Импортированный стиль 4"/>
    <w:rsid w:val="0071288E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BD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5947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2023-01-16T14:34:00Z</dcterms:created>
  <dcterms:modified xsi:type="dcterms:W3CDTF">2023-01-16T14:35:00Z</dcterms:modified>
</cp:coreProperties>
</file>