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F6D8" w14:textId="77777777" w:rsid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32"/>
          <w:szCs w:val="32"/>
          <w:lang w:val="uk-UA"/>
        </w:rPr>
      </w:pPr>
      <w:r w:rsidRPr="005605B2">
        <w:rPr>
          <w:rFonts w:eastAsia="Calibri" w:cs="Courier New"/>
          <w:b/>
          <w:sz w:val="32"/>
          <w:szCs w:val="32"/>
          <w:lang w:val="uk-UA"/>
        </w:rPr>
        <w:t xml:space="preserve">Комунальне підприємство </w:t>
      </w:r>
    </w:p>
    <w:p w14:paraId="1D1B4DE0" w14:textId="77777777" w:rsid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32"/>
          <w:szCs w:val="32"/>
          <w:lang w:val="uk-UA"/>
        </w:rPr>
      </w:pPr>
      <w:r w:rsidRPr="005605B2">
        <w:rPr>
          <w:rFonts w:eastAsia="Calibri" w:cs="Courier New"/>
          <w:b/>
          <w:sz w:val="32"/>
          <w:szCs w:val="32"/>
          <w:lang w:val="uk-UA"/>
        </w:rPr>
        <w:t>«</w:t>
      </w:r>
      <w:proofErr w:type="spellStart"/>
      <w:r w:rsidRPr="005605B2">
        <w:rPr>
          <w:rFonts w:eastAsia="Calibri" w:cs="Courier New"/>
          <w:b/>
          <w:sz w:val="32"/>
          <w:szCs w:val="32"/>
          <w:lang w:val="uk-UA"/>
        </w:rPr>
        <w:t>Кам’янопотоківький</w:t>
      </w:r>
      <w:proofErr w:type="spellEnd"/>
      <w:r w:rsidRPr="005605B2">
        <w:rPr>
          <w:rFonts w:eastAsia="Calibri" w:cs="Courier New"/>
          <w:b/>
          <w:sz w:val="32"/>
          <w:szCs w:val="32"/>
          <w:lang w:val="uk-UA"/>
        </w:rPr>
        <w:t xml:space="preserve"> центр первинної </w:t>
      </w:r>
    </w:p>
    <w:p w14:paraId="115B6375" w14:textId="6C9EA48B" w:rsidR="00620164" w:rsidRP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32"/>
          <w:szCs w:val="32"/>
          <w:lang w:val="uk-UA"/>
        </w:rPr>
      </w:pPr>
      <w:r w:rsidRPr="005605B2">
        <w:rPr>
          <w:rFonts w:eastAsia="Calibri" w:cs="Courier New"/>
          <w:b/>
          <w:sz w:val="32"/>
          <w:szCs w:val="32"/>
          <w:lang w:val="uk-UA"/>
        </w:rPr>
        <w:t>медико-санітарної допомоги»</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5605B2" w:rsidRDefault="00620164" w:rsidP="005605B2">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2"/>
          <w:szCs w:val="22"/>
          <w:lang w:val="uk-UA"/>
        </w:rPr>
      </w:pPr>
      <w:r w:rsidRPr="005605B2">
        <w:rPr>
          <w:sz w:val="22"/>
          <w:szCs w:val="22"/>
          <w:lang w:val="uk-UA"/>
        </w:rPr>
        <w:t>Затверджую</w:t>
      </w:r>
    </w:p>
    <w:p w14:paraId="368CF090" w14:textId="6D65817C" w:rsidR="00620164" w:rsidRPr="005605B2" w:rsidRDefault="00953E62" w:rsidP="005605B2">
      <w:pPr>
        <w:pBdr>
          <w:top w:val="nil"/>
          <w:left w:val="nil"/>
          <w:bottom w:val="nil"/>
          <w:right w:val="nil"/>
          <w:between w:val="nil"/>
        </w:pBdr>
        <w:tabs>
          <w:tab w:val="left" w:pos="4678"/>
        </w:tabs>
        <w:spacing w:line="259" w:lineRule="auto"/>
        <w:ind w:left="42" w:right="42"/>
        <w:rPr>
          <w:sz w:val="22"/>
          <w:szCs w:val="22"/>
          <w:lang w:val="uk-UA"/>
        </w:rPr>
      </w:pPr>
      <w:r w:rsidRPr="005605B2">
        <w:rPr>
          <w:sz w:val="22"/>
          <w:szCs w:val="22"/>
          <w:lang w:val="ru-RU"/>
        </w:rPr>
        <w:t xml:space="preserve">                                                                                    </w:t>
      </w:r>
      <w:r w:rsidR="005605B2">
        <w:rPr>
          <w:sz w:val="22"/>
          <w:szCs w:val="22"/>
          <w:lang w:val="ru-RU"/>
        </w:rPr>
        <w:t xml:space="preserve">           </w:t>
      </w:r>
      <w:proofErr w:type="spellStart"/>
      <w:r w:rsidRPr="005605B2">
        <w:rPr>
          <w:sz w:val="22"/>
          <w:szCs w:val="22"/>
          <w:lang w:val="ru-RU"/>
        </w:rPr>
        <w:t>Уповноважена</w:t>
      </w:r>
      <w:proofErr w:type="spellEnd"/>
      <w:r w:rsidRPr="005605B2">
        <w:rPr>
          <w:sz w:val="22"/>
          <w:szCs w:val="22"/>
          <w:lang w:val="ru-RU"/>
        </w:rPr>
        <w:t xml:space="preserve"> особа</w:t>
      </w:r>
    </w:p>
    <w:p w14:paraId="57F5A040" w14:textId="7183A98B" w:rsidR="00620164" w:rsidRPr="005605B2" w:rsidRDefault="005605B2" w:rsidP="005605B2">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sz w:val="22"/>
          <w:szCs w:val="22"/>
          <w:lang w:val="uk-UA"/>
        </w:rPr>
      </w:pPr>
      <w:r>
        <w:rPr>
          <w:sz w:val="22"/>
          <w:szCs w:val="22"/>
          <w:lang w:val="uk-UA"/>
        </w:rPr>
        <w:t xml:space="preserve">           </w:t>
      </w:r>
      <w:r w:rsidR="00620164" w:rsidRPr="005605B2">
        <w:rPr>
          <w:sz w:val="22"/>
          <w:szCs w:val="22"/>
          <w:lang w:val="uk-UA"/>
        </w:rPr>
        <w:t>_____________</w:t>
      </w:r>
      <w:r>
        <w:rPr>
          <w:sz w:val="22"/>
          <w:szCs w:val="22"/>
          <w:lang w:val="uk-UA"/>
        </w:rPr>
        <w:t>Лілія</w:t>
      </w:r>
      <w:r w:rsidR="00953E62" w:rsidRPr="005605B2">
        <w:rPr>
          <w:sz w:val="22"/>
          <w:szCs w:val="22"/>
          <w:lang w:val="uk-UA"/>
        </w:rPr>
        <w:t xml:space="preserve"> </w:t>
      </w:r>
      <w:r>
        <w:rPr>
          <w:sz w:val="22"/>
          <w:szCs w:val="22"/>
          <w:lang w:val="uk-UA"/>
        </w:rPr>
        <w:t>КОВАЛЕНКО</w:t>
      </w:r>
    </w:p>
    <w:p w14:paraId="05118C39" w14:textId="78AE1AB4" w:rsidR="00620164" w:rsidRPr="005605B2" w:rsidRDefault="005605B2" w:rsidP="005605B2">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sz w:val="22"/>
          <w:szCs w:val="22"/>
          <w:lang w:val="uk-UA" w:eastAsia="ru-RU"/>
        </w:rPr>
      </w:pPr>
      <w:r>
        <w:rPr>
          <w:sz w:val="22"/>
          <w:szCs w:val="22"/>
          <w:lang w:val="uk-UA" w:eastAsia="ru-RU"/>
        </w:rPr>
        <w:t xml:space="preserve">                 </w:t>
      </w:r>
      <w:r w:rsidR="002B026C" w:rsidRPr="005605B2">
        <w:rPr>
          <w:sz w:val="22"/>
          <w:szCs w:val="22"/>
          <w:lang w:val="uk-UA" w:eastAsia="ru-RU"/>
        </w:rPr>
        <w:t>25</w:t>
      </w:r>
      <w:r w:rsidR="00E52A6D" w:rsidRPr="005605B2">
        <w:rPr>
          <w:sz w:val="22"/>
          <w:szCs w:val="22"/>
          <w:lang w:val="uk-UA" w:eastAsia="ru-RU"/>
        </w:rPr>
        <w:t>.0</w:t>
      </w:r>
      <w:r w:rsidR="002B026C" w:rsidRPr="005605B2">
        <w:rPr>
          <w:sz w:val="22"/>
          <w:szCs w:val="22"/>
          <w:lang w:val="uk-UA" w:eastAsia="ru-RU"/>
        </w:rPr>
        <w:t>8</w:t>
      </w:r>
      <w:r w:rsidR="00E52A6D" w:rsidRPr="005605B2">
        <w:rPr>
          <w:sz w:val="22"/>
          <w:szCs w:val="22"/>
          <w:lang w:val="uk-UA" w:eastAsia="ru-RU"/>
        </w:rPr>
        <w:t>.</w:t>
      </w:r>
      <w:r w:rsidR="00620164" w:rsidRPr="005605B2">
        <w:rPr>
          <w:sz w:val="22"/>
          <w:szCs w:val="22"/>
          <w:lang w:val="uk-UA" w:eastAsia="ru-RU"/>
        </w:rPr>
        <w:t>202</w:t>
      </w:r>
      <w:r w:rsidR="000A01D8" w:rsidRPr="005605B2">
        <w:rPr>
          <w:sz w:val="22"/>
          <w:szCs w:val="22"/>
          <w:lang w:val="uk-UA" w:eastAsia="ru-RU"/>
        </w:rPr>
        <w:t>3</w:t>
      </w:r>
      <w:r w:rsidR="00620164" w:rsidRPr="005605B2">
        <w:rPr>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5605B2" w14:paraId="75FEDB1C" w14:textId="77777777">
        <w:tc>
          <w:tcPr>
            <w:tcW w:w="10314" w:type="dxa"/>
            <w:hideMark/>
          </w:tcPr>
          <w:p w14:paraId="731EA47D"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особливостями</w:t>
            </w:r>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A81EB4A" w14:textId="77777777" w:rsidR="00A365DF" w:rsidRP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u w:val="single"/>
          <w:lang w:val="uk-UA" w:eastAsia="uk-UA"/>
        </w:rPr>
      </w:pPr>
      <w:r w:rsidRPr="00A365DF">
        <w:rPr>
          <w:b/>
          <w:sz w:val="28"/>
          <w:szCs w:val="28"/>
          <w:u w:val="single"/>
          <w:lang w:val="uk-UA" w:eastAsia="uk-UA"/>
        </w:rPr>
        <w:t xml:space="preserve">Природний газ </w:t>
      </w:r>
    </w:p>
    <w:p w14:paraId="7BF5553B" w14:textId="02D96EF2" w:rsid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48EF398" w14:textId="0DD3B3B2" w:rsidR="00A91954" w:rsidRPr="00A1120C" w:rsidRDefault="00A91954" w:rsidP="00A365DF">
      <w:pPr>
        <w:jc w:val="center"/>
        <w:rPr>
          <w:b/>
          <w:iCs/>
          <w:sz w:val="28"/>
          <w:szCs w:val="28"/>
          <w:lang w:val="uk-UA"/>
        </w:rPr>
      </w:pP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762D1C3B" w:rsidR="001B3097" w:rsidRDefault="005605B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с</w:t>
      </w:r>
      <w:r w:rsidR="001B3097">
        <w:rPr>
          <w:b/>
          <w:bCs/>
          <w:sz w:val="24"/>
          <w:szCs w:val="24"/>
          <w:lang w:val="uk-UA" w:eastAsia="ru-RU"/>
        </w:rPr>
        <w:t xml:space="preserve">. </w:t>
      </w:r>
      <w:r>
        <w:rPr>
          <w:b/>
          <w:bCs/>
          <w:sz w:val="24"/>
          <w:szCs w:val="24"/>
          <w:lang w:val="uk-UA" w:eastAsia="ru-RU"/>
        </w:rPr>
        <w:t>Кам’яні Потоки</w:t>
      </w:r>
      <w:r w:rsidR="001B3097">
        <w:rPr>
          <w:b/>
          <w:bCs/>
          <w:sz w:val="24"/>
          <w:szCs w:val="24"/>
          <w:lang w:val="uk-UA" w:eastAsia="ru-RU"/>
        </w:rPr>
        <w:t xml:space="preserve"> 20</w:t>
      </w:r>
      <w:r w:rsidR="00620164">
        <w:rPr>
          <w:b/>
          <w:bCs/>
          <w:sz w:val="24"/>
          <w:szCs w:val="24"/>
          <w:lang w:val="uk-UA" w:eastAsia="ru-RU"/>
        </w:rPr>
        <w:t>2</w:t>
      </w:r>
      <w:r w:rsidR="000A01D8">
        <w:rPr>
          <w:b/>
          <w:bCs/>
          <w:sz w:val="24"/>
          <w:szCs w:val="24"/>
          <w:lang w:val="uk-UA" w:eastAsia="ru-RU"/>
        </w:rPr>
        <w:t>3</w:t>
      </w:r>
      <w:r w:rsidR="001B3097">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lastRenderedPageBreak/>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5605B2"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5605B2"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530CF0BB" w:rsidR="001B3097" w:rsidRDefault="005C4393">
            <w:pPr>
              <w:pStyle w:val="1"/>
              <w:spacing w:before="0" w:beforeAutospacing="0" w:after="0" w:afterAutospacing="0"/>
              <w:jc w:val="both"/>
            </w:pPr>
            <w:r w:rsidRPr="00A1120C">
              <w:rPr>
                <w:b/>
              </w:rPr>
              <w:t xml:space="preserve">Комунальне підприємство </w:t>
            </w:r>
            <w:r>
              <w:rPr>
                <w:b/>
              </w:rPr>
              <w:t>«</w:t>
            </w:r>
            <w:r w:rsidR="005605B2">
              <w:rPr>
                <w:b/>
              </w:rPr>
              <w:t>Кам’янопотоківський центр первинної медико-санітарної допомоги</w:t>
            </w:r>
            <w:r>
              <w:rPr>
                <w:b/>
              </w:rPr>
              <w:t>»</w:t>
            </w:r>
          </w:p>
        </w:tc>
      </w:tr>
      <w:tr w:rsidR="001B3097" w:rsidRPr="005605B2"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270DB880" w:rsidR="001B3097" w:rsidRDefault="001B3097">
            <w:pPr>
              <w:rPr>
                <w:sz w:val="24"/>
                <w:szCs w:val="24"/>
                <w:lang w:val="uk-UA"/>
              </w:rPr>
            </w:pPr>
            <w:r>
              <w:rPr>
                <w:rFonts w:eastAsia="Arial"/>
                <w:sz w:val="24"/>
                <w:szCs w:val="24"/>
                <w:lang w:val="uk-UA"/>
              </w:rPr>
              <w:t>39</w:t>
            </w:r>
            <w:r w:rsidR="005605B2">
              <w:rPr>
                <w:rFonts w:eastAsia="Arial"/>
                <w:sz w:val="24"/>
                <w:szCs w:val="24"/>
                <w:lang w:val="uk-UA"/>
              </w:rPr>
              <w:t>763</w:t>
            </w:r>
            <w:r>
              <w:rPr>
                <w:rFonts w:eastAsia="Arial"/>
                <w:sz w:val="24"/>
                <w:szCs w:val="24"/>
                <w:lang w:val="uk-UA"/>
              </w:rPr>
              <w:t xml:space="preserve">, Полтавська обл., </w:t>
            </w:r>
            <w:r w:rsidR="005605B2">
              <w:rPr>
                <w:rFonts w:eastAsia="Arial"/>
                <w:sz w:val="24"/>
                <w:szCs w:val="24"/>
                <w:lang w:val="uk-UA"/>
              </w:rPr>
              <w:t>с</w:t>
            </w:r>
            <w:r>
              <w:rPr>
                <w:rFonts w:eastAsia="Arial"/>
                <w:sz w:val="24"/>
                <w:szCs w:val="24"/>
                <w:lang w:val="uk-UA"/>
              </w:rPr>
              <w:t xml:space="preserve">. </w:t>
            </w:r>
            <w:r w:rsidR="005605B2">
              <w:rPr>
                <w:rFonts w:eastAsia="Arial"/>
                <w:sz w:val="24"/>
                <w:szCs w:val="24"/>
                <w:lang w:val="uk-UA"/>
              </w:rPr>
              <w:t>Кам’яні Потоки</w:t>
            </w:r>
            <w:r>
              <w:rPr>
                <w:rFonts w:eastAsia="Arial"/>
                <w:sz w:val="24"/>
                <w:szCs w:val="24"/>
                <w:lang w:val="uk-UA"/>
              </w:rPr>
              <w:t xml:space="preserve">, вул. </w:t>
            </w:r>
            <w:r w:rsidR="005605B2">
              <w:rPr>
                <w:rFonts w:eastAsia="Arial"/>
                <w:sz w:val="24"/>
                <w:szCs w:val="24"/>
                <w:lang w:val="uk-UA"/>
              </w:rPr>
              <w:t>Центральна , 369</w:t>
            </w:r>
          </w:p>
        </w:tc>
      </w:tr>
      <w:tr w:rsidR="001B3097" w:rsidRPr="005605B2"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3ED49713" w:rsidR="005C4393" w:rsidRPr="00A1120C" w:rsidRDefault="005605B2" w:rsidP="005C4393">
            <w:pPr>
              <w:rPr>
                <w:rFonts w:eastAsia="Arial"/>
                <w:sz w:val="24"/>
                <w:szCs w:val="24"/>
                <w:lang w:val="uk-UA"/>
              </w:rPr>
            </w:pPr>
            <w:r>
              <w:rPr>
                <w:rFonts w:eastAsia="Arial"/>
                <w:sz w:val="24"/>
                <w:szCs w:val="24"/>
                <w:lang w:val="uk-UA"/>
              </w:rPr>
              <w:t>Коваленко Лілія Олександрівна</w:t>
            </w:r>
            <w:r w:rsidR="005C4393" w:rsidRPr="00A1120C">
              <w:rPr>
                <w:rFonts w:eastAsia="Arial"/>
                <w:sz w:val="24"/>
                <w:szCs w:val="24"/>
                <w:lang w:val="uk-UA"/>
              </w:rPr>
              <w:t xml:space="preserve"> </w:t>
            </w:r>
            <w:r w:rsidR="00953E62">
              <w:rPr>
                <w:rFonts w:eastAsia="Arial"/>
                <w:sz w:val="24"/>
                <w:szCs w:val="24"/>
                <w:lang w:val="uk-UA"/>
              </w:rPr>
              <w:t>– уповноважена особа.</w:t>
            </w:r>
            <w:r w:rsidR="005C4393" w:rsidRPr="00A1120C">
              <w:rPr>
                <w:rFonts w:eastAsia="Arial"/>
                <w:sz w:val="24"/>
                <w:szCs w:val="24"/>
                <w:lang w:val="uk-UA"/>
              </w:rPr>
              <w:t xml:space="preserve"> </w:t>
            </w:r>
          </w:p>
          <w:p w14:paraId="4F9472C3" w14:textId="0BBC68A9" w:rsidR="005C4393" w:rsidRPr="00A1120C" w:rsidRDefault="005C4393" w:rsidP="005C4393">
            <w:pPr>
              <w:rPr>
                <w:rFonts w:eastAsia="Arial"/>
                <w:sz w:val="24"/>
                <w:szCs w:val="24"/>
                <w:lang w:val="uk-UA"/>
              </w:rPr>
            </w:pPr>
            <w:r w:rsidRPr="00A1120C">
              <w:rPr>
                <w:rFonts w:eastAsia="Arial"/>
                <w:sz w:val="24"/>
                <w:szCs w:val="24"/>
                <w:lang w:val="uk-UA"/>
              </w:rPr>
              <w:t>39</w:t>
            </w:r>
            <w:r w:rsidR="005605B2">
              <w:rPr>
                <w:rFonts w:eastAsia="Arial"/>
                <w:sz w:val="24"/>
                <w:szCs w:val="24"/>
                <w:lang w:val="uk-UA"/>
              </w:rPr>
              <w:t>763</w:t>
            </w:r>
            <w:r w:rsidRPr="00A1120C">
              <w:rPr>
                <w:rFonts w:eastAsia="Arial"/>
                <w:sz w:val="24"/>
                <w:szCs w:val="24"/>
                <w:lang w:val="uk-UA"/>
              </w:rPr>
              <w:t xml:space="preserve">, Полтавська обл., </w:t>
            </w:r>
            <w:r w:rsidR="005605B2" w:rsidRPr="005605B2">
              <w:rPr>
                <w:rFonts w:eastAsia="Arial"/>
                <w:sz w:val="24"/>
                <w:szCs w:val="24"/>
                <w:lang w:val="uk-UA"/>
              </w:rPr>
              <w:t>с. Кам’яні Потоки, вул. Центральна , 369</w:t>
            </w:r>
          </w:p>
          <w:p w14:paraId="0D036F92" w14:textId="1FA6F783" w:rsidR="005C4393" w:rsidRPr="00A1120C" w:rsidRDefault="005C4393" w:rsidP="005C4393">
            <w:pPr>
              <w:rPr>
                <w:rFonts w:eastAsia="Arial"/>
                <w:sz w:val="24"/>
                <w:szCs w:val="24"/>
                <w:lang w:val="uk-UA"/>
              </w:rPr>
            </w:pPr>
            <w:proofErr w:type="spellStart"/>
            <w:r>
              <w:rPr>
                <w:rFonts w:eastAsia="Arial"/>
                <w:sz w:val="24"/>
                <w:szCs w:val="24"/>
                <w:lang w:val="uk-UA"/>
              </w:rPr>
              <w:t>тел</w:t>
            </w:r>
            <w:proofErr w:type="spellEnd"/>
            <w:r>
              <w:rPr>
                <w:rFonts w:eastAsia="Arial"/>
                <w:sz w:val="24"/>
                <w:szCs w:val="24"/>
                <w:lang w:val="uk-UA"/>
              </w:rPr>
              <w:t>. (0</w:t>
            </w:r>
            <w:r w:rsidR="005605B2">
              <w:rPr>
                <w:rFonts w:eastAsia="Arial"/>
                <w:sz w:val="24"/>
                <w:szCs w:val="24"/>
                <w:lang w:val="uk-UA"/>
              </w:rPr>
              <w:t>97</w:t>
            </w:r>
            <w:r>
              <w:rPr>
                <w:rFonts w:eastAsia="Arial"/>
                <w:sz w:val="24"/>
                <w:szCs w:val="24"/>
                <w:lang w:val="uk-UA"/>
              </w:rPr>
              <w:t xml:space="preserve">) </w:t>
            </w:r>
            <w:r w:rsidR="005605B2">
              <w:rPr>
                <w:rFonts w:eastAsia="Arial"/>
                <w:sz w:val="24"/>
                <w:szCs w:val="24"/>
                <w:lang w:val="uk-UA"/>
              </w:rPr>
              <w:t>115</w:t>
            </w:r>
            <w:r>
              <w:rPr>
                <w:rFonts w:eastAsia="Arial"/>
                <w:sz w:val="24"/>
                <w:szCs w:val="24"/>
                <w:lang w:val="uk-UA"/>
              </w:rPr>
              <w:t>-4</w:t>
            </w:r>
            <w:r w:rsidR="005605B2">
              <w:rPr>
                <w:rFonts w:eastAsia="Arial"/>
                <w:sz w:val="24"/>
                <w:szCs w:val="24"/>
                <w:lang w:val="uk-UA"/>
              </w:rPr>
              <w:t>2</w:t>
            </w:r>
            <w:r>
              <w:rPr>
                <w:rFonts w:eastAsia="Arial"/>
                <w:sz w:val="24"/>
                <w:szCs w:val="24"/>
                <w:lang w:val="uk-UA"/>
              </w:rPr>
              <w:t>-</w:t>
            </w:r>
            <w:r w:rsidR="005605B2">
              <w:rPr>
                <w:rFonts w:eastAsia="Arial"/>
                <w:sz w:val="24"/>
                <w:szCs w:val="24"/>
                <w:lang w:val="uk-UA"/>
              </w:rPr>
              <w:t>15</w:t>
            </w:r>
          </w:p>
          <w:p w14:paraId="57DBE784" w14:textId="46CEFDF5" w:rsidR="001B3097" w:rsidRDefault="005C4393" w:rsidP="005C4393">
            <w:pPr>
              <w:rPr>
                <w:sz w:val="24"/>
                <w:szCs w:val="24"/>
                <w:lang w:val="uk-UA"/>
              </w:rPr>
            </w:pPr>
            <w:r w:rsidRPr="00A1120C">
              <w:rPr>
                <w:rFonts w:eastAsia="Arial"/>
                <w:sz w:val="24"/>
                <w:szCs w:val="24"/>
                <w:lang w:val="uk-UA"/>
              </w:rPr>
              <w:t>е-</w:t>
            </w:r>
            <w:proofErr w:type="spellStart"/>
            <w:r w:rsidRPr="00A1120C">
              <w:rPr>
                <w:rFonts w:eastAsia="Arial"/>
                <w:sz w:val="24"/>
                <w:szCs w:val="24"/>
                <w:lang w:val="uk-UA"/>
              </w:rPr>
              <w:t>mail</w:t>
            </w:r>
            <w:proofErr w:type="spellEnd"/>
            <w:r w:rsidRPr="00A1120C">
              <w:rPr>
                <w:rFonts w:eastAsia="Arial"/>
                <w:sz w:val="24"/>
                <w:szCs w:val="24"/>
                <w:lang w:val="uk-UA"/>
              </w:rPr>
              <w:t xml:space="preserve">: </w:t>
            </w:r>
            <w:proofErr w:type="spellStart"/>
            <w:r w:rsidR="005605B2">
              <w:rPr>
                <w:rFonts w:eastAsia="Arial"/>
                <w:sz w:val="24"/>
                <w:szCs w:val="24"/>
              </w:rPr>
              <w:t>pmsdkrem</w:t>
            </w:r>
            <w:proofErr w:type="spellEnd"/>
            <w:r w:rsidRPr="00A1120C">
              <w:rPr>
                <w:rFonts w:eastAsia="Arial"/>
                <w:sz w:val="24"/>
                <w:szCs w:val="24"/>
                <w:lang w:val="uk-UA"/>
              </w:rPr>
              <w:t>@</w:t>
            </w:r>
            <w:r w:rsidR="005605B2">
              <w:rPr>
                <w:rFonts w:eastAsia="Arial"/>
                <w:sz w:val="24"/>
                <w:szCs w:val="24"/>
              </w:rPr>
              <w:t>gmail.com</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0" w:name="_Hlk138152523"/>
            <w:r w:rsidR="00953E62" w:rsidRPr="00953E62">
              <w:rPr>
                <w:rFonts w:ascii="Times New Roman" w:hAnsi="Times New Roman"/>
                <w:sz w:val="24"/>
                <w:szCs w:val="24"/>
                <w:lang w:val="ru-RU"/>
              </w:rPr>
              <w:t>з особливостями</w:t>
            </w:r>
            <w:bookmarkEnd w:id="0"/>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A365DF"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6CB2B12C"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r w:rsidR="00A365DF" w:rsidRPr="0008209A">
              <w:rPr>
                <w:b/>
                <w:sz w:val="24"/>
                <w:szCs w:val="24"/>
                <w:lang w:val="uk-UA" w:eastAsia="uk-UA"/>
              </w:rPr>
              <w:t>09120000-6 «Газове паливо»</w:t>
            </w:r>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A365DF"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5E52A8D2" w14:textId="77777777" w:rsidR="00A365DF" w:rsidRDefault="00A365DF" w:rsidP="00A365DF">
            <w:pPr>
              <w:pStyle w:val="a4"/>
              <w:spacing w:before="0" w:after="0"/>
              <w:rPr>
                <w:b/>
                <w:sz w:val="24"/>
                <w:szCs w:val="24"/>
              </w:rPr>
            </w:pPr>
            <w:r>
              <w:rPr>
                <w:b/>
                <w:bCs/>
                <w:sz w:val="24"/>
                <w:szCs w:val="24"/>
                <w:u w:val="single"/>
              </w:rPr>
              <w:t>Місце поставки товару:</w:t>
            </w:r>
            <w:r>
              <w:rPr>
                <w:bCs/>
                <w:sz w:val="24"/>
                <w:szCs w:val="24"/>
              </w:rPr>
              <w:t xml:space="preserve"> </w:t>
            </w:r>
            <w:r w:rsidRPr="00C328FC">
              <w:rPr>
                <w:bCs/>
                <w:sz w:val="24"/>
                <w:szCs w:val="24"/>
              </w:rPr>
              <w:t>До межі балансової належності підпорядкованих об’єктів Замовника торгів</w:t>
            </w:r>
            <w:r>
              <w:rPr>
                <w:b/>
                <w:sz w:val="24"/>
                <w:szCs w:val="24"/>
              </w:rPr>
              <w:t xml:space="preserve"> </w:t>
            </w:r>
          </w:p>
          <w:p w14:paraId="1C138735" w14:textId="7BD24F52" w:rsidR="001B3097" w:rsidRDefault="00A91954" w:rsidP="00A365DF">
            <w:pPr>
              <w:pStyle w:val="a4"/>
              <w:spacing w:before="0" w:after="0"/>
              <w:rPr>
                <w:sz w:val="24"/>
                <w:szCs w:val="24"/>
              </w:rPr>
            </w:pPr>
            <w:r w:rsidRPr="000B7866">
              <w:rPr>
                <w:b/>
                <w:sz w:val="24"/>
                <w:szCs w:val="24"/>
              </w:rPr>
              <w:t>Кількість:</w:t>
            </w:r>
            <w:r w:rsidRPr="000B7866">
              <w:rPr>
                <w:sz w:val="24"/>
                <w:szCs w:val="24"/>
              </w:rPr>
              <w:t xml:space="preserve"> згідно з </w:t>
            </w:r>
            <w:r w:rsidRPr="000B7866">
              <w:rPr>
                <w:b/>
                <w:sz w:val="24"/>
                <w:szCs w:val="24"/>
              </w:rPr>
              <w:t xml:space="preserve">Додатком № </w:t>
            </w:r>
            <w:r w:rsidR="004D1AC9" w:rsidRPr="000B7866">
              <w:rPr>
                <w:b/>
                <w:sz w:val="24"/>
                <w:szCs w:val="24"/>
              </w:rPr>
              <w:t>2</w:t>
            </w:r>
          </w:p>
        </w:tc>
      </w:tr>
      <w:tr w:rsidR="001B3097" w:rsidRPr="005605B2"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67DA39A0" w:rsidR="001B3097" w:rsidRDefault="002B026C" w:rsidP="00E019FD">
            <w:pPr>
              <w:autoSpaceDE w:val="0"/>
              <w:autoSpaceDN w:val="0"/>
              <w:adjustRightInd w:val="0"/>
              <w:rPr>
                <w:b/>
                <w:bCs/>
                <w:sz w:val="24"/>
                <w:szCs w:val="24"/>
                <w:lang w:val="uk-UA"/>
              </w:rPr>
            </w:pPr>
            <w:r>
              <w:rPr>
                <w:b/>
                <w:sz w:val="24"/>
                <w:szCs w:val="24"/>
                <w:lang w:val="uk-UA"/>
              </w:rPr>
              <w:t>з вересня п</w:t>
            </w:r>
            <w:r w:rsidR="0008209A" w:rsidRPr="00C918E8">
              <w:rPr>
                <w:b/>
                <w:sz w:val="24"/>
                <w:szCs w:val="24"/>
                <w:lang w:val="uk-UA"/>
              </w:rPr>
              <w:t xml:space="preserve">о 31 </w:t>
            </w:r>
            <w:r w:rsidR="00A365DF">
              <w:rPr>
                <w:b/>
                <w:sz w:val="24"/>
                <w:szCs w:val="24"/>
                <w:lang w:val="uk-UA"/>
              </w:rPr>
              <w:t>грудня</w:t>
            </w:r>
            <w:r w:rsidR="0008209A" w:rsidRPr="00C918E8">
              <w:rPr>
                <w:b/>
                <w:sz w:val="24"/>
                <w:szCs w:val="24"/>
                <w:lang w:val="uk-UA"/>
              </w:rPr>
              <w:t xml:space="preserve"> 2023 року</w:t>
            </w:r>
            <w:r w:rsidR="000A01D8">
              <w:rPr>
                <w:b/>
                <w:sz w:val="24"/>
                <w:szCs w:val="24"/>
                <w:lang w:val="uk-UA"/>
              </w:rPr>
              <w:t xml:space="preserve"> </w:t>
            </w:r>
            <w:r w:rsidR="000A01D8" w:rsidRPr="000A01D8">
              <w:rPr>
                <w:bCs/>
                <w:sz w:val="24"/>
                <w:szCs w:val="24"/>
                <w:lang w:val="uk-UA"/>
              </w:rPr>
              <w:t>включно</w:t>
            </w:r>
          </w:p>
        </w:tc>
      </w:tr>
      <w:tr w:rsidR="001B3097" w:rsidRPr="005605B2"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B3097" w:rsidRPr="005605B2"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До ціни тендерної пропозиції не включаються витрати, які учасник поніс при підготовці пропозиції та проведенні </w:t>
            </w:r>
            <w:r>
              <w:rPr>
                <w:b/>
                <w:sz w:val="24"/>
                <w:szCs w:val="24"/>
                <w:lang w:val="uk-UA"/>
              </w:rPr>
              <w:lastRenderedPageBreak/>
              <w:t>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5605B2"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Під час проведення процедур закупівель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5605B2"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5605B2"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закупівель.</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5605B2"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6121">
              <w:rPr>
                <w:rFonts w:eastAsia="Times New Roman"/>
                <w:color w:val="auto"/>
                <w:sz w:val="24"/>
                <w:szCs w:val="24"/>
                <w:lang w:val="uk-UA"/>
              </w:rPr>
              <w:t>внести</w:t>
            </w:r>
            <w:proofErr w:type="spellEnd"/>
            <w:r w:rsidRPr="00776121">
              <w:rPr>
                <w:rFonts w:eastAsia="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C525AE">
              <w:rPr>
                <w:rFonts w:eastAsia="Times New Roman"/>
                <w:i/>
                <w:iCs/>
                <w:color w:val="auto"/>
                <w:sz w:val="24"/>
                <w:szCs w:val="24"/>
                <w:lang w:val="uk-UA"/>
              </w:rPr>
              <w:t>вигляді нової редакції тендерної документації додатково до початкової редакції тендерної документації</w:t>
            </w:r>
            <w:r w:rsidRPr="00776121">
              <w:rPr>
                <w:rFonts w:eastAsia="Times New Roman"/>
                <w:color w:val="auto"/>
                <w:sz w:val="24"/>
                <w:szCs w:val="24"/>
                <w:lang w:val="uk-UA"/>
              </w:rPr>
              <w:t xml:space="preserve">. </w:t>
            </w:r>
            <w:r w:rsidR="00C525AE" w:rsidRPr="005F3910">
              <w:rPr>
                <w:rFonts w:eastAsia="Times New Roman"/>
                <w:b/>
                <w:iCs/>
                <w:sz w:val="24"/>
                <w:szCs w:val="24"/>
                <w:highlight w:val="white"/>
                <w:lang w:val="uk-UA"/>
              </w:rPr>
              <w:t>Замовник разом із змінами до тендерної документації в окремому документі оприлюднює перелік змін</w:t>
            </w:r>
            <w:r w:rsidR="00C525AE" w:rsidRPr="005F3910">
              <w:rPr>
                <w:rFonts w:eastAsia="Times New Roman"/>
                <w:sz w:val="24"/>
                <w:szCs w:val="24"/>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sidR="00C525AE" w:rsidRPr="005F3910">
              <w:rPr>
                <w:rFonts w:eastAsia="Times New Roman"/>
                <w:sz w:val="24"/>
                <w:szCs w:val="24"/>
                <w:highlight w:val="white"/>
                <w:lang w:val="uk-UA"/>
              </w:rPr>
              <w:lastRenderedPageBreak/>
              <w:t>одного дня з дати прийняття рішення про їх внесення.</w:t>
            </w:r>
          </w:p>
        </w:tc>
      </w:tr>
      <w:tr w:rsidR="001B3097" w:rsidRPr="005605B2"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5605B2"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r w:rsidRPr="005605B2">
              <w:rPr>
                <w:rFonts w:eastAsia="Times New Roman"/>
                <w:sz w:val="24"/>
                <w:szCs w:val="24"/>
                <w:lang w:val="uk-UA" w:eastAsia="ru-RU"/>
              </w:rPr>
              <w:t xml:space="preserve">інформації щодо відповідності учасника вимогам, визначеним у п. 47 особливостей </w:t>
            </w:r>
            <w:r w:rsidRPr="005605B2">
              <w:rPr>
                <w:rFonts w:eastAsia="Calibri"/>
                <w:sz w:val="24"/>
                <w:szCs w:val="24"/>
                <w:lang w:val="uk-UA" w:eastAsia="ru-RU"/>
              </w:rPr>
              <w:t>(Додаток №1 до цієї тендерної документації</w:t>
            </w:r>
            <w:r w:rsidRPr="002E47C5">
              <w:rPr>
                <w:rFonts w:eastAsia="Calibri"/>
                <w:sz w:val="24"/>
                <w:szCs w:val="24"/>
                <w:lang w:val="ru-RU" w:eastAsia="ru-RU"/>
              </w:rPr>
              <w:t>);</w:t>
            </w:r>
            <w:r w:rsidRPr="00033D5F">
              <w:rPr>
                <w:rFonts w:eastAsia="Times New Roman"/>
                <w:sz w:val="24"/>
                <w:szCs w:val="24"/>
                <w:lang w:eastAsia="ru-RU"/>
              </w:rPr>
              <w:t> </w:t>
            </w:r>
          </w:p>
          <w:p w14:paraId="192DBA9B" w14:textId="77777777" w:rsidR="002E47C5" w:rsidRPr="005605B2" w:rsidRDefault="002E47C5" w:rsidP="002E47C5">
            <w:pPr>
              <w:ind w:left="-21" w:hanging="21"/>
              <w:rPr>
                <w:rFonts w:eastAsia="Times New Roman"/>
                <w:sz w:val="24"/>
                <w:szCs w:val="24"/>
                <w:lang w:val="uk-UA" w:eastAsia="ru-RU"/>
              </w:rPr>
            </w:pPr>
            <w:r w:rsidRPr="002E47C5">
              <w:rPr>
                <w:rFonts w:eastAsia="Times New Roman"/>
                <w:sz w:val="24"/>
                <w:szCs w:val="24"/>
                <w:lang w:val="ru-RU" w:eastAsia="ru-RU"/>
              </w:rPr>
              <w:t xml:space="preserve">- </w:t>
            </w:r>
            <w:r w:rsidRPr="005605B2">
              <w:rPr>
                <w:rFonts w:eastAsia="Times New Roman"/>
                <w:sz w:val="24"/>
                <w:szCs w:val="24"/>
                <w:lang w:val="uk-UA" w:eastAsia="ru-RU"/>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Pr="005605B2">
              <w:rPr>
                <w:rFonts w:eastAsia="Calibri"/>
                <w:sz w:val="24"/>
                <w:szCs w:val="24"/>
                <w:lang w:val="uk-UA" w:eastAsia="ru-RU"/>
              </w:rPr>
              <w:t>(Додаток №2 до цієї тендерної документації);</w:t>
            </w:r>
            <w:r w:rsidRPr="005605B2">
              <w:rPr>
                <w:rFonts w:eastAsia="Times New Roman"/>
                <w:sz w:val="24"/>
                <w:szCs w:val="24"/>
                <w:lang w:val="uk-UA" w:eastAsia="ru-RU"/>
              </w:rPr>
              <w:t>  </w:t>
            </w:r>
          </w:p>
          <w:p w14:paraId="0A5C9E35" w14:textId="77777777" w:rsidR="002E47C5" w:rsidRPr="005605B2" w:rsidRDefault="002E47C5" w:rsidP="00E019FD">
            <w:pPr>
              <w:spacing w:beforeLines="40" w:before="96" w:afterLines="40" w:after="96"/>
              <w:ind w:left="34"/>
              <w:contextualSpacing/>
              <w:rPr>
                <w:rFonts w:eastAsia="Times New Roman"/>
                <w:sz w:val="24"/>
                <w:szCs w:val="24"/>
                <w:lang w:val="uk-UA" w:eastAsia="ru-RU"/>
              </w:rPr>
            </w:pPr>
            <w:r w:rsidRPr="005605B2">
              <w:rPr>
                <w:rFonts w:eastAsia="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5605B2">
              <w:rPr>
                <w:rFonts w:eastAsia="Calibri"/>
                <w:sz w:val="24"/>
                <w:szCs w:val="24"/>
                <w:lang w:val="uk-UA" w:eastAsia="ru-RU"/>
              </w:rPr>
              <w:t>(Додаток №1 до цієї тендерної документації)</w:t>
            </w:r>
            <w:r w:rsidRPr="005605B2">
              <w:rPr>
                <w:rFonts w:eastAsia="Times New Roman"/>
                <w:sz w:val="24"/>
                <w:szCs w:val="24"/>
                <w:lang w:val="uk-UA" w:eastAsia="ru-RU"/>
              </w:rPr>
              <w:t>;</w:t>
            </w:r>
          </w:p>
          <w:p w14:paraId="1E2E1F30" w14:textId="77777777" w:rsidR="002E47C5" w:rsidRPr="005605B2" w:rsidRDefault="002E47C5" w:rsidP="00E019FD">
            <w:pPr>
              <w:spacing w:beforeLines="40" w:before="96" w:afterLines="40" w:after="96"/>
              <w:ind w:left="34"/>
              <w:contextualSpacing/>
              <w:rPr>
                <w:rFonts w:eastAsia="Times New Roman"/>
                <w:sz w:val="24"/>
                <w:szCs w:val="24"/>
                <w:lang w:val="uk-UA" w:eastAsia="ru-RU"/>
              </w:rPr>
            </w:pPr>
            <w:r w:rsidRPr="005605B2">
              <w:rPr>
                <w:rFonts w:eastAsia="Times New Roman"/>
                <w:sz w:val="24"/>
                <w:szCs w:val="24"/>
                <w:lang w:val="uk-UA" w:eastAsia="ru-RU"/>
              </w:rPr>
              <w:t>- погоджений проект договору (</w:t>
            </w:r>
            <w:r w:rsidRPr="005605B2">
              <w:rPr>
                <w:rFonts w:eastAsia="Calibri"/>
                <w:sz w:val="24"/>
                <w:szCs w:val="24"/>
                <w:lang w:val="uk-UA" w:eastAsia="ru-RU"/>
              </w:rPr>
              <w:t>Додаток №3 до цієї тендерної документації)</w:t>
            </w:r>
            <w:r w:rsidRPr="005605B2">
              <w:rPr>
                <w:rFonts w:eastAsia="Times New Roman"/>
                <w:sz w:val="24"/>
                <w:szCs w:val="24"/>
                <w:lang w:val="uk-UA" w:eastAsia="ru-RU"/>
              </w:rPr>
              <w:t>;</w:t>
            </w:r>
          </w:p>
          <w:p w14:paraId="6A6F364C" w14:textId="77777777" w:rsidR="002E47C5" w:rsidRPr="005605B2" w:rsidRDefault="002E47C5" w:rsidP="002E47C5">
            <w:pPr>
              <w:ind w:left="-21" w:hanging="21"/>
              <w:rPr>
                <w:rFonts w:eastAsia="Times New Roman"/>
                <w:sz w:val="24"/>
                <w:szCs w:val="24"/>
                <w:lang w:val="uk-UA" w:eastAsia="ru-RU"/>
              </w:rPr>
            </w:pPr>
            <w:r w:rsidRPr="005605B2">
              <w:rPr>
                <w:rFonts w:eastAsia="Times New Roman"/>
                <w:sz w:val="24"/>
                <w:szCs w:val="24"/>
                <w:lang w:val="uk-UA" w:eastAsia="ru-RU"/>
              </w:rPr>
              <w:t xml:space="preserve"> - інших документів, необхідність подання яких у складі тендерної пропозиції передбачена умовами цієї документації.</w:t>
            </w:r>
          </w:p>
          <w:p w14:paraId="4782F4D9" w14:textId="77777777" w:rsidR="001B3097" w:rsidRPr="005605B2"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 xml:space="preserve">Тендерна пропозиція не буде відхилена у разі допущення </w:t>
            </w:r>
            <w:r>
              <w:rPr>
                <w:sz w:val="24"/>
                <w:szCs w:val="24"/>
                <w:lang w:val="uk-UA"/>
              </w:rPr>
              <w:lastRenderedPageBreak/>
              <w:t>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1B3097" w:rsidRPr="005605B2"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5605B2"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5605B2"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1" w:name="h.2et92p0"/>
            <w:bookmarkEnd w:id="1"/>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5605B2"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5605B2"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1) </w:t>
            </w:r>
            <w:r w:rsidRPr="005605B2">
              <w:rPr>
                <w:rFonts w:eastAsia="Times New Roman"/>
                <w:sz w:val="24"/>
                <w:szCs w:val="24"/>
                <w:lang w:val="uk-UA" w:eastAsia="ru-RU"/>
              </w:rPr>
              <w:t>наявність в учасника процедури закупівлі обладнання, матеріально-технічної бази та технологій;</w:t>
            </w:r>
          </w:p>
          <w:p w14:paraId="10D1C84A"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5605B2">
              <w:rPr>
                <w:rFonts w:eastAsia="Times New Roman"/>
                <w:sz w:val="24"/>
                <w:szCs w:val="24"/>
                <w:lang w:val="uk-UA" w:eastAsia="ru-RU"/>
              </w:rPr>
              <w:lastRenderedPageBreak/>
              <w:t>процедури закупівлі в разі, коли:</w:t>
            </w:r>
          </w:p>
          <w:p w14:paraId="53AFCD3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606C42"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25D913"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5711D"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05B2">
              <w:rPr>
                <w:rFonts w:eastAsia="Times New Roman"/>
                <w:sz w:val="24"/>
                <w:szCs w:val="24"/>
                <w:lang w:val="uk-UA" w:eastAsia="ru-RU"/>
              </w:rPr>
              <w:t>антиконкурентних</w:t>
            </w:r>
            <w:proofErr w:type="spellEnd"/>
            <w:r w:rsidRPr="005605B2">
              <w:rPr>
                <w:rFonts w:eastAsia="Times New Roman"/>
                <w:sz w:val="24"/>
                <w:szCs w:val="24"/>
                <w:lang w:val="uk-UA" w:eastAsia="ru-RU"/>
              </w:rPr>
              <w:t xml:space="preserve"> узгоджених дій, що стосуються спотворення результатів тендерів;</w:t>
            </w:r>
          </w:p>
          <w:p w14:paraId="36D13CC1"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48A7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09C3E"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46EC62"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EE7612A"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8761DF"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C28B24"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11) учасник процедури закупівлі або кінцевий </w:t>
            </w:r>
            <w:proofErr w:type="spellStart"/>
            <w:r w:rsidRPr="005605B2">
              <w:rPr>
                <w:rFonts w:eastAsia="Times New Roman"/>
                <w:sz w:val="24"/>
                <w:szCs w:val="24"/>
                <w:lang w:val="uk-UA" w:eastAsia="ru-RU"/>
              </w:rPr>
              <w:t>бенефіціарний</w:t>
            </w:r>
            <w:proofErr w:type="spellEnd"/>
            <w:r w:rsidRPr="005605B2">
              <w:rPr>
                <w:rFonts w:eastAsia="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B60C9D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605B2">
              <w:rPr>
                <w:rFonts w:eastAsia="Times New Roman"/>
                <w:sz w:val="24"/>
                <w:szCs w:val="24"/>
                <w:lang w:val="uk-UA" w:eastAsia="ru-RU"/>
              </w:rPr>
              <w:lastRenderedPageBreak/>
              <w:t>пов’язаного з використанням дитячої праці чи будь-якими формами торгівлі людьми.</w:t>
            </w:r>
          </w:p>
          <w:p w14:paraId="1B2BBD7C" w14:textId="77777777" w:rsidR="007914A1" w:rsidRPr="005605B2"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xml:space="preserve">. </w:t>
            </w:r>
            <w:r w:rsidRPr="005605B2">
              <w:rPr>
                <w:rFonts w:eastAsia="Times New Roman"/>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5605B2" w:rsidRDefault="007914A1" w:rsidP="007914A1">
            <w:pPr>
              <w:widowControl/>
              <w:numPr>
                <w:ilvl w:val="0"/>
                <w:numId w:val="12"/>
              </w:numPr>
              <w:contextualSpacing/>
              <w:rPr>
                <w:rFonts w:eastAsia="Calibri"/>
                <w:sz w:val="24"/>
                <w:szCs w:val="24"/>
                <w:lang w:val="uk-UA" w:eastAsia="ru-RU"/>
              </w:rPr>
            </w:pPr>
            <w:r w:rsidRPr="005605B2">
              <w:rPr>
                <w:rFonts w:eastAsia="Calibri"/>
                <w:sz w:val="24"/>
                <w:szCs w:val="24"/>
                <w:lang w:val="uk-UA"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5605B2"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5605B2">
              <w:rPr>
                <w:rFonts w:eastAsia="Times New Roman"/>
                <w:sz w:val="24"/>
                <w:szCs w:val="24"/>
                <w:lang w:val="uk-UA" w:eastAsia="ru-RU"/>
              </w:rPr>
              <w:lastRenderedPageBreak/>
              <w:t>довідка, складена учасником у довільній формі, що підтверджує відсутність підстави, передбаченої пп.12 п. 47 особливостей;</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2" w:name="n308"/>
            <w:bookmarkEnd w:id="2"/>
          </w:p>
        </w:tc>
      </w:tr>
      <w:tr w:rsidR="001B3097" w:rsidRPr="005605B2"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5605B2"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5605B2"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 xml:space="preserve">Учасник процедури закупівлі має право </w:t>
            </w:r>
            <w:proofErr w:type="spellStart"/>
            <w:r w:rsidRPr="00AC3AC4">
              <w:rPr>
                <w:sz w:val="24"/>
                <w:szCs w:val="24"/>
                <w:shd w:val="clear" w:color="auto" w:fill="FFFFFF"/>
                <w:lang w:val="uk-UA"/>
              </w:rPr>
              <w:t>внести</w:t>
            </w:r>
            <w:proofErr w:type="spellEnd"/>
            <w:r w:rsidRPr="00AC3AC4">
              <w:rPr>
                <w:sz w:val="24"/>
                <w:szCs w:val="24"/>
                <w:shd w:val="clear" w:color="auto" w:fill="FFFFFF"/>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97" w:rsidRPr="005605B2"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5605B2"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559F7C10"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2B026C" w:rsidRPr="002B026C">
              <w:rPr>
                <w:rFonts w:ascii="Times New Roman" w:hAnsi="Times New Roman" w:cs="Times New Roman"/>
                <w:b/>
                <w:sz w:val="24"/>
                <w:szCs w:val="24"/>
                <w:lang w:val="uk-UA"/>
              </w:rPr>
              <w:t>02</w:t>
            </w:r>
            <w:r w:rsidR="00E52A6D" w:rsidRPr="002B026C">
              <w:rPr>
                <w:rFonts w:ascii="Times New Roman" w:hAnsi="Times New Roman" w:cs="Times New Roman"/>
                <w:b/>
                <w:sz w:val="24"/>
                <w:szCs w:val="24"/>
                <w:lang w:val="uk-UA"/>
              </w:rPr>
              <w:t>.</w:t>
            </w:r>
            <w:r w:rsidR="002B026C" w:rsidRPr="002B026C">
              <w:rPr>
                <w:rFonts w:ascii="Times New Roman" w:hAnsi="Times New Roman" w:cs="Times New Roman"/>
                <w:b/>
                <w:sz w:val="24"/>
                <w:szCs w:val="24"/>
                <w:lang w:val="uk-UA"/>
              </w:rPr>
              <w:t>09</w:t>
            </w:r>
            <w:r w:rsidR="00E52A6D" w:rsidRPr="002B026C">
              <w:rPr>
                <w:rFonts w:ascii="Times New Roman" w:hAnsi="Times New Roman" w:cs="Times New Roman"/>
                <w:b/>
                <w:sz w:val="24"/>
                <w:szCs w:val="24"/>
                <w:lang w:val="uk-UA"/>
              </w:rPr>
              <w:t>.</w:t>
            </w:r>
            <w:r w:rsidRPr="002B026C">
              <w:rPr>
                <w:rFonts w:ascii="Times New Roman" w:hAnsi="Times New Roman" w:cs="Times New Roman"/>
                <w:b/>
                <w:sz w:val="24"/>
                <w:szCs w:val="24"/>
                <w:lang w:val="uk-UA"/>
              </w:rPr>
              <w:t>20</w:t>
            </w:r>
            <w:r w:rsidR="00820CDD" w:rsidRPr="002B026C">
              <w:rPr>
                <w:rFonts w:ascii="Times New Roman" w:hAnsi="Times New Roman" w:cs="Times New Roman"/>
                <w:b/>
                <w:sz w:val="24"/>
                <w:szCs w:val="24"/>
                <w:lang w:val="uk-UA"/>
              </w:rPr>
              <w:t>2</w:t>
            </w:r>
            <w:r w:rsidR="001B7513" w:rsidRPr="002B026C">
              <w:rPr>
                <w:rFonts w:ascii="Times New Roman" w:hAnsi="Times New Roman" w:cs="Times New Roman"/>
                <w:b/>
                <w:sz w:val="24"/>
                <w:szCs w:val="24"/>
                <w:lang w:val="ru-RU"/>
              </w:rPr>
              <w:t>3</w:t>
            </w:r>
            <w:r w:rsidRPr="002B026C">
              <w:rPr>
                <w:rFonts w:ascii="Times New Roman" w:hAnsi="Times New Roman" w:cs="Times New Roman"/>
                <w:b/>
                <w:sz w:val="24"/>
                <w:szCs w:val="24"/>
                <w:lang w:val="uk-UA"/>
              </w:rPr>
              <w:t>р.;</w:t>
            </w:r>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74DBE" w:rsidRPr="005605B2"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5F3910"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r w:rsidRPr="005F3910">
              <w:rPr>
                <w:rFonts w:ascii="Times New Roman" w:eastAsia="Times New Roman" w:hAnsi="Times New Roman" w:cs="Times New Roman"/>
                <w:bCs/>
                <w:sz w:val="24"/>
                <w:szCs w:val="24"/>
                <w:lang w:val="uk-UA"/>
              </w:rPr>
              <w:t>Порядок розкриття тендерної пропозиції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r w:rsidRPr="005605B2">
              <w:rPr>
                <w:rFonts w:eastAsia="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5605B2"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5605B2"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B32EAC" w:rsidRDefault="00DD1160" w:rsidP="00DD1160">
            <w:pPr>
              <w:rPr>
                <w:rFonts w:eastAsia="Times New Roman"/>
                <w:sz w:val="24"/>
                <w:szCs w:val="24"/>
                <w:lang w:val="uk-UA" w:eastAsia="ru-RU"/>
              </w:rPr>
            </w:pPr>
            <w:r w:rsidRPr="00B32EAC">
              <w:rPr>
                <w:rFonts w:eastAsia="Times New Roman"/>
                <w:sz w:val="24"/>
                <w:szCs w:val="24"/>
                <w:lang w:val="uk-UA" w:eastAsia="ru-RU"/>
              </w:rPr>
              <w:t xml:space="preserve">1.2. Єдиним критерієм оцінки згідно даної процедури відкритих торгів є ціна (питома вага критерію – 100%). </w:t>
            </w:r>
          </w:p>
          <w:p w14:paraId="373B7F7B" w14:textId="77777777" w:rsidR="00DD1160" w:rsidRPr="00B32EAC" w:rsidRDefault="00DD1160" w:rsidP="00DD1160">
            <w:pPr>
              <w:rPr>
                <w:rFonts w:eastAsia="Times New Roman"/>
                <w:sz w:val="24"/>
                <w:szCs w:val="24"/>
                <w:lang w:val="uk-UA" w:eastAsia="ru-RU"/>
              </w:rPr>
            </w:pPr>
            <w:r w:rsidRPr="00B32EAC">
              <w:rPr>
                <w:rFonts w:eastAsia="Times New Roman"/>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5605B2"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B32EAC" w:rsidRDefault="00A04D79" w:rsidP="00E019FD">
            <w:pPr>
              <w:spacing w:beforeLines="50" w:before="120" w:afterLines="50" w:after="120"/>
              <w:contextualSpacing/>
              <w:rPr>
                <w:rFonts w:eastAsia="Calibri"/>
                <w:sz w:val="24"/>
                <w:szCs w:val="24"/>
                <w:lang w:val="uk-UA" w:eastAsia="uk-UA"/>
              </w:rPr>
            </w:pPr>
            <w:r w:rsidRPr="00B32EAC">
              <w:rPr>
                <w:rFonts w:eastAsia="Times New Roman"/>
                <w:sz w:val="24"/>
                <w:szCs w:val="24"/>
                <w:lang w:val="uk-UA" w:eastAsia="ru-RU"/>
              </w:rPr>
              <w:t xml:space="preserve">2.1. </w:t>
            </w:r>
            <w:r w:rsidRPr="00B32EAC">
              <w:rPr>
                <w:rFonts w:eastAsia="Calibri"/>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p>
          <w:p w14:paraId="3848D1EA" w14:textId="77777777" w:rsidR="00A04D79" w:rsidRPr="00B32EAC" w:rsidRDefault="00A04D79" w:rsidP="00E019FD">
            <w:pPr>
              <w:spacing w:beforeLines="50" w:before="120" w:afterLines="50" w:after="120"/>
              <w:contextualSpacing/>
              <w:rPr>
                <w:rFonts w:eastAsia="Calibri"/>
                <w:lang w:val="uk-UA" w:eastAsia="ru-RU"/>
              </w:rPr>
            </w:pPr>
            <w:r w:rsidRPr="00B32EAC">
              <w:rPr>
                <w:rFonts w:eastAsia="Calibri"/>
                <w:sz w:val="24"/>
                <w:szCs w:val="24"/>
                <w:lang w:val="uk-UA" w:eastAsia="ru-RU"/>
              </w:rPr>
              <w:lastRenderedPageBreak/>
              <w:t>2.2. У разі якщо учасник стає переможцем декількох або всіх лотів, замовник може укласти один договір про закупівлю з переможцем, об’єднавши лоти.</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Обґрунтування аномально низької тендерної пропозиції може містити інформацію про:</w:t>
            </w:r>
          </w:p>
          <w:p w14:paraId="16BBB547"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2613B3"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CE88A0"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3) отримання учасником державної допомоги згідно із законодавством.</w:t>
            </w:r>
          </w:p>
          <w:p w14:paraId="4B5C50B8"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2.5.</w:t>
            </w:r>
            <w:r w:rsidRPr="00B32EAC">
              <w:rPr>
                <w:rFonts w:eastAsia="Times New Roman"/>
                <w:color w:val="FF0000"/>
                <w:sz w:val="24"/>
                <w:szCs w:val="24"/>
                <w:lang w:val="uk-UA" w:eastAsia="ru-RU"/>
              </w:rPr>
              <w:t xml:space="preserve"> </w:t>
            </w:r>
            <w:r w:rsidRPr="00B32EAC">
              <w:rPr>
                <w:rFonts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918095"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32EAC">
              <w:rPr>
                <w:rFonts w:eastAsia="Times New Roman"/>
                <w:sz w:val="24"/>
                <w:szCs w:val="24"/>
                <w:lang w:val="uk-UA"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E9085"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33D5F">
              <w:rPr>
                <w:rFonts w:eastAsia="Times New Roman"/>
                <w:sz w:val="24"/>
                <w:szCs w:val="24"/>
                <w:lang w:eastAsia="ru-RU"/>
              </w:rPr>
              <w:t> </w:t>
            </w:r>
          </w:p>
          <w:p w14:paraId="112AADA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5605B2"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B32EAC" w:rsidRDefault="00A04D79" w:rsidP="00A04D79">
            <w:pPr>
              <w:rPr>
                <w:rFonts w:eastAsia="Times New Roman"/>
                <w:sz w:val="24"/>
                <w:szCs w:val="24"/>
                <w:lang w:val="uk-UA" w:eastAsia="ru-RU"/>
              </w:rPr>
            </w:pPr>
            <w:r w:rsidRPr="00B32EAC">
              <w:rPr>
                <w:rFonts w:eastAsia="Times New Roman"/>
                <w:b/>
                <w:bCs/>
                <w:sz w:val="24"/>
                <w:szCs w:val="24"/>
                <w:lang w:val="uk-UA" w:eastAsia="ru-RU"/>
              </w:rPr>
              <w:t>Замовник відхиляє тендерну пропозицію</w:t>
            </w:r>
            <w:r w:rsidRPr="00B32EAC">
              <w:rPr>
                <w:rFonts w:eastAsia="Times New Roman"/>
                <w:sz w:val="24"/>
                <w:szCs w:val="24"/>
                <w:lang w:val="uk-UA" w:eastAsia="ru-RU"/>
              </w:rPr>
              <w:t xml:space="preserve"> із зазначенням аргументації в електронній системі закупівель у разі, коли:</w:t>
            </w:r>
          </w:p>
          <w:p w14:paraId="2C15A9E9"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1) учасник процедури закупівлі:</w:t>
            </w:r>
          </w:p>
          <w:p w14:paraId="56240D03"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w:t>
            </w:r>
            <w:proofErr w:type="spellStart"/>
            <w:r w:rsidRPr="00B32EAC">
              <w:rPr>
                <w:rFonts w:eastAsia="Times New Roman"/>
                <w:sz w:val="24"/>
                <w:szCs w:val="24"/>
                <w:lang w:val="uk-UA" w:eastAsia="ru-RU"/>
              </w:rPr>
              <w:t>торгів,яку</w:t>
            </w:r>
            <w:proofErr w:type="spellEnd"/>
            <w:r w:rsidRPr="00B32EAC">
              <w:rPr>
                <w:rFonts w:eastAsia="Times New Roman"/>
                <w:sz w:val="24"/>
                <w:szCs w:val="24"/>
                <w:lang w:val="uk-UA" w:eastAsia="ru-RU"/>
              </w:rPr>
              <w:t xml:space="preserve"> замовником виявлено згідно з </w:t>
            </w:r>
            <w:proofErr w:type="spellStart"/>
            <w:r w:rsidRPr="00B32EAC">
              <w:rPr>
                <w:rFonts w:eastAsia="Times New Roman"/>
                <w:sz w:val="24"/>
                <w:szCs w:val="24"/>
                <w:lang w:val="uk-UA" w:eastAsia="ru-RU"/>
              </w:rPr>
              <w:t>з</w:t>
            </w:r>
            <w:proofErr w:type="spellEnd"/>
            <w:r w:rsidRPr="00B32EAC">
              <w:rPr>
                <w:rFonts w:eastAsia="Times New Roman"/>
                <w:sz w:val="24"/>
                <w:szCs w:val="24"/>
                <w:lang w:val="uk-UA" w:eastAsia="ru-RU"/>
              </w:rPr>
              <w:t xml:space="preserve"> абзацом першим пункту 42 цих особливостей;</w:t>
            </w:r>
          </w:p>
          <w:p w14:paraId="59D87CC8"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забезпечення тендерної пропозиції, якщо таке забезпечення вимагалося замовником;</w:t>
            </w:r>
          </w:p>
          <w:p w14:paraId="6137DDF8"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proofErr w:type="spellStart"/>
            <w:r w:rsidRPr="00B32EAC">
              <w:rPr>
                <w:rFonts w:eastAsia="Times New Roman"/>
                <w:sz w:val="24"/>
                <w:szCs w:val="24"/>
                <w:lang w:val="uk-UA" w:eastAsia="ru-RU"/>
              </w:rPr>
              <w:t>своєй</w:t>
            </w:r>
            <w:proofErr w:type="spellEnd"/>
            <w:r w:rsidRPr="00B32EAC">
              <w:rPr>
                <w:rFonts w:eastAsia="Times New Roman"/>
                <w:sz w:val="24"/>
                <w:szCs w:val="24"/>
                <w:lang w:val="uk-UA" w:eastAsia="ru-RU"/>
              </w:rPr>
              <w:t xml:space="preserve">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4B60B7"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CA1C5A"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визначив конфіденційною інформацію,</w:t>
            </w:r>
            <w:r w:rsidRPr="00B32EAC">
              <w:rPr>
                <w:rFonts w:eastAsiaTheme="minorEastAsia"/>
                <w:lang w:val="uk-UA" w:eastAsia="ru-RU"/>
              </w:rPr>
              <w:t xml:space="preserve"> </w:t>
            </w:r>
            <w:r w:rsidRPr="00B32EAC">
              <w:rPr>
                <w:rFonts w:eastAsia="Times New Roman"/>
                <w:sz w:val="24"/>
                <w:szCs w:val="24"/>
                <w:lang w:val="uk-UA" w:eastAsia="ru-RU"/>
              </w:rPr>
              <w:t>що не може бути визначена як конфіденційна відповідно до вимог пункту 40 цих 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033D5F">
              <w:rPr>
                <w:rFonts w:eastAsia="Times New Roman"/>
                <w:sz w:val="24"/>
                <w:szCs w:val="24"/>
                <w:lang w:val="uk-UA" w:eastAsia="ru-RU"/>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відповідає вимогам, встановленим в тендерній документації відповідно до абзацу першого частини третьої статті 22 Закону;</w:t>
            </w:r>
          </w:p>
          <w:p w14:paraId="0D36A93C"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3) переможець процедури закупівлі:</w:t>
            </w:r>
          </w:p>
          <w:p w14:paraId="050714C7"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B4CFAF"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у спосіб, зазначений в тендерній документації, документи, що підтверджують відсутність підстав,</w:t>
            </w:r>
            <w:r w:rsidRPr="00B32EAC">
              <w:rPr>
                <w:rFonts w:eastAsiaTheme="minorEastAsia"/>
                <w:lang w:val="uk-UA" w:eastAsia="ru-RU"/>
              </w:rPr>
              <w:t xml:space="preserve"> </w:t>
            </w:r>
            <w:r w:rsidRPr="00B32EAC">
              <w:rPr>
                <w:rFonts w:eastAsia="Times New Roman"/>
                <w:sz w:val="24"/>
                <w:szCs w:val="24"/>
                <w:lang w:val="uk-UA" w:eastAsia="ru-RU"/>
              </w:rPr>
              <w:t>визначених у підпунктах 3, 5, 6 і 12 та в абзаці чотирнадцятому пункту 47 цих особливостей;</w:t>
            </w:r>
          </w:p>
          <w:p w14:paraId="62907205" w14:textId="77777777" w:rsidR="00A04D79" w:rsidRPr="00B32EAC" w:rsidRDefault="00A04D79" w:rsidP="00A04D79">
            <w:pPr>
              <w:rPr>
                <w:rFonts w:eastAsia="Times New Roman"/>
                <w:sz w:val="24"/>
                <w:szCs w:val="24"/>
                <w:highlight w:val="red"/>
                <w:lang w:val="uk-UA" w:eastAsia="ru-RU"/>
              </w:rPr>
            </w:pPr>
          </w:p>
          <w:p w14:paraId="5A7316FC"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C45B457" w14:textId="77777777" w:rsidR="00A04D79" w:rsidRPr="00033D5F"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 w:anchor="n326" w:history="1">
              <w:r w:rsidRPr="00B32EAC">
                <w:rPr>
                  <w:rFonts w:eastAsia="Times New Roman"/>
                  <w:sz w:val="24"/>
                  <w:szCs w:val="24"/>
                  <w:lang w:val="uk-UA" w:eastAsia="ru-RU"/>
                </w:rPr>
                <w:t xml:space="preserve">абзацом </w:t>
              </w:r>
            </w:hyperlink>
            <w:r w:rsidRPr="00B32EAC">
              <w:rPr>
                <w:rFonts w:eastAsia="Times New Roman"/>
                <w:sz w:val="24"/>
                <w:szCs w:val="24"/>
                <w:lang w:val="uk-UA" w:eastAsia="ru-RU"/>
              </w:rPr>
              <w:t>першим пункту 42 цих особливостей</w:t>
            </w:r>
            <w:r w:rsidRPr="00A04D79">
              <w:rPr>
                <w:rFonts w:eastAsia="Times New Roman"/>
                <w:sz w:val="24"/>
                <w:szCs w:val="24"/>
                <w:lang w:val="ru-RU" w:eastAsia="ru-RU"/>
              </w:rPr>
              <w:t>.</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B32EAC"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 </w:t>
            </w:r>
            <w:r w:rsidRPr="00B32EAC">
              <w:rPr>
                <w:rFonts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5CBF00D"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C52566"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388B80"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4C985A"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5605B2"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3" w:name="h.3rdcrjn"/>
            <w:bookmarkEnd w:id="3"/>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5605B2"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B32EAC" w:rsidRDefault="00911845" w:rsidP="00911845">
            <w:pPr>
              <w:rPr>
                <w:rFonts w:eastAsia="Times New Roman"/>
                <w:b/>
                <w:iCs/>
                <w:sz w:val="24"/>
                <w:szCs w:val="24"/>
                <w:lang w:val="uk-UA"/>
              </w:rPr>
            </w:pPr>
            <w:r w:rsidRPr="00B32EAC">
              <w:rPr>
                <w:rFonts w:eastAsia="Times New Roman"/>
                <w:b/>
                <w:iCs/>
                <w:sz w:val="24"/>
                <w:szCs w:val="24"/>
                <w:lang w:val="uk-UA"/>
              </w:rPr>
              <w:t>Замовник відміняє відкриті торги у разі:</w:t>
            </w:r>
          </w:p>
          <w:p w14:paraId="234F2649"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1) відсутності подальшої потреби в закупівлі товарів, робіт чи послуг;</w:t>
            </w:r>
          </w:p>
          <w:p w14:paraId="2E7C85DA"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27D309"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3) скорочення обсягу видатків на здійснення закупівлі товарів, робіт чи послуг;</w:t>
            </w:r>
          </w:p>
          <w:p w14:paraId="64D7EE1D"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4) коли здійснення закупівлі стало неможливим внаслідок дії обставин непереборної сили.</w:t>
            </w:r>
          </w:p>
          <w:p w14:paraId="4AD6B377"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У разі відміни відкритих торгів замовник</w:t>
            </w:r>
            <w:r w:rsidRPr="00911845">
              <w:rPr>
                <w:rFonts w:eastAsia="Times New Roman"/>
                <w:sz w:val="24"/>
                <w:szCs w:val="24"/>
                <w:lang w:val="ru-RU"/>
              </w:rPr>
              <w:t xml:space="preserve"> </w:t>
            </w:r>
            <w:r w:rsidRPr="00B32EAC">
              <w:rPr>
                <w:rFonts w:eastAsia="Times New Roman"/>
                <w:b/>
                <w:iCs/>
                <w:sz w:val="24"/>
                <w:szCs w:val="24"/>
                <w:lang w:val="uk-UA"/>
              </w:rPr>
              <w:t>протягом одного робочого дня</w:t>
            </w:r>
            <w:r w:rsidRPr="00911845">
              <w:rPr>
                <w:rFonts w:eastAsia="Times New Roman"/>
                <w:sz w:val="24"/>
                <w:szCs w:val="24"/>
                <w:lang w:val="ru-RU"/>
              </w:rPr>
              <w:t xml:space="preserve"> з </w:t>
            </w:r>
            <w:r w:rsidRPr="00B32EAC">
              <w:rPr>
                <w:rFonts w:eastAsia="Times New Roman"/>
                <w:sz w:val="24"/>
                <w:szCs w:val="24"/>
                <w:lang w:val="uk-UA"/>
              </w:rPr>
              <w:t>дати прийняття відповідного рішення зазначає в електронній системі закупівель підстави прийняття такого рішення.</w:t>
            </w:r>
          </w:p>
          <w:p w14:paraId="29AFA969" w14:textId="77777777" w:rsidR="00911845" w:rsidRPr="00B32EAC" w:rsidRDefault="00911845" w:rsidP="00911845">
            <w:pPr>
              <w:rPr>
                <w:rFonts w:eastAsia="Times New Roman"/>
                <w:b/>
                <w:iCs/>
                <w:sz w:val="24"/>
                <w:szCs w:val="24"/>
                <w:lang w:val="uk-UA"/>
              </w:rPr>
            </w:pPr>
            <w:r w:rsidRPr="00B32EAC">
              <w:rPr>
                <w:rFonts w:eastAsia="Times New Roman"/>
                <w:b/>
                <w:iCs/>
                <w:sz w:val="24"/>
                <w:szCs w:val="24"/>
                <w:lang w:val="uk-UA"/>
              </w:rPr>
              <w:lastRenderedPageBreak/>
              <w:t>Відкриті торги автоматично відміняються електронною системою закупівель у разі:</w:t>
            </w:r>
          </w:p>
          <w:p w14:paraId="5302D811"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32EAC">
              <w:rPr>
                <w:rFonts w:eastAsia="Times New Roman"/>
                <w:sz w:val="24"/>
                <w:szCs w:val="24"/>
                <w:highlight w:val="white"/>
                <w:lang w:val="uk-UA"/>
              </w:rPr>
              <w:t>Особливостями</w:t>
            </w:r>
            <w:r w:rsidRPr="00B32EAC">
              <w:rPr>
                <w:rFonts w:eastAsia="Times New Roman"/>
                <w:sz w:val="24"/>
                <w:szCs w:val="24"/>
                <w:lang w:val="uk-UA"/>
              </w:rPr>
              <w:t>;</w:t>
            </w:r>
          </w:p>
          <w:p w14:paraId="2F27E37C"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2) не</w:t>
            </w:r>
            <w:r w:rsidRPr="00B32EAC">
              <w:rPr>
                <w:rFonts w:eastAsia="Times New Roman"/>
                <w:sz w:val="24"/>
                <w:szCs w:val="24"/>
                <w:highlight w:val="white"/>
                <w:lang w:val="uk-UA"/>
              </w:rPr>
              <w:t>подання жодної тендерної пропозиції для участі</w:t>
            </w:r>
            <w:r w:rsidRPr="00B32EAC">
              <w:rPr>
                <w:rFonts w:eastAsia="Times New Roman"/>
                <w:sz w:val="24"/>
                <w:szCs w:val="24"/>
                <w:lang w:val="uk-UA"/>
              </w:rPr>
              <w:t xml:space="preserve"> у відкритих торгах у строк, установлений замовником згідно з </w:t>
            </w:r>
            <w:r w:rsidRPr="00B32EAC">
              <w:rPr>
                <w:rFonts w:eastAsia="Times New Roman"/>
                <w:sz w:val="24"/>
                <w:szCs w:val="24"/>
                <w:highlight w:val="white"/>
                <w:lang w:val="uk-UA"/>
              </w:rPr>
              <w:t>Особливостями</w:t>
            </w:r>
            <w:r w:rsidRPr="00B32EAC">
              <w:rPr>
                <w:rFonts w:eastAsia="Times New Roman"/>
                <w:sz w:val="24"/>
                <w:szCs w:val="24"/>
                <w:lang w:val="uk-UA"/>
              </w:rPr>
              <w:t>.</w:t>
            </w:r>
          </w:p>
          <w:p w14:paraId="284EE7B0"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1B0408"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Відкриті торги можуть бути відмінені частково (за лотом).</w:t>
            </w:r>
          </w:p>
          <w:p w14:paraId="0576907C" w14:textId="77777777" w:rsidR="00911845" w:rsidRPr="007F49D8" w:rsidRDefault="00911845" w:rsidP="00911845">
            <w:pPr>
              <w:ind w:firstLine="557"/>
              <w:rPr>
                <w:sz w:val="24"/>
                <w:szCs w:val="24"/>
                <w:lang w:val="uk-UA"/>
              </w:rPr>
            </w:pPr>
            <w:r w:rsidRPr="00B32EAC">
              <w:rPr>
                <w:rFonts w:eastAsia="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32EAC">
              <w:rPr>
                <w:rFonts w:eastAsia="Times New Roman"/>
                <w:color w:val="4A86E8"/>
                <w:sz w:val="24"/>
                <w:szCs w:val="24"/>
                <w:lang w:val="uk-UA"/>
              </w:rPr>
              <w:t>.</w:t>
            </w:r>
          </w:p>
        </w:tc>
      </w:tr>
      <w:tr w:rsidR="00A04D79" w:rsidRPr="005605B2"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4" w:name="h.z337ya"/>
            <w:bookmarkEnd w:id="4"/>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14:paraId="5DF3238D"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3A7AE3D"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w:t>
            </w:r>
          </w:p>
          <w:p w14:paraId="62D4481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п’ять днів з дати оприлюднення в електронній системі закупівель повідомлення про намір укласти договір про закупівлю.</w:t>
            </w:r>
          </w:p>
          <w:p w14:paraId="04DE130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w:t>
            </w:r>
          </w:p>
          <w:p w14:paraId="568C3B92"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CD635F1" w14:textId="77777777" w:rsidR="00A04D79" w:rsidRPr="00B32EA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B32EAC">
              <w:rPr>
                <w:rFonts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A04D79" w:rsidRPr="005605B2"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w:t>
            </w:r>
            <w:r>
              <w:rPr>
                <w:sz w:val="24"/>
                <w:szCs w:val="24"/>
                <w:lang w:val="uk-UA"/>
              </w:rPr>
              <w:lastRenderedPageBreak/>
              <w:t xml:space="preserve">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5605B2"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A94DA6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8C59CB"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визначення грошового еквівалента зобов’язання в іноземній валюті;</w:t>
            </w:r>
          </w:p>
          <w:p w14:paraId="325DA48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4D7E8CF7"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B32EAC" w:rsidRDefault="00AC6938" w:rsidP="00AC6938">
            <w:pPr>
              <w:rPr>
                <w:rFonts w:eastAsia="Times New Roman"/>
                <w:i/>
                <w:iCs/>
                <w:sz w:val="24"/>
                <w:szCs w:val="24"/>
                <w:lang w:val="uk-UA" w:eastAsia="ru-RU"/>
              </w:rPr>
            </w:pPr>
            <w:r w:rsidRPr="00B32EAC">
              <w:rPr>
                <w:rFonts w:eastAsia="Times New Roman"/>
                <w:i/>
                <w:iCs/>
                <w:sz w:val="24"/>
                <w:szCs w:val="24"/>
                <w:lang w:val="uk-UA" w:eastAsia="ru-RU"/>
              </w:rPr>
              <w:t>Істотні умови договору про закупівлю</w:t>
            </w:r>
            <w:r w:rsidRPr="00B32EAC">
              <w:rPr>
                <w:rFonts w:eastAsia="Times New Roman"/>
                <w:sz w:val="24"/>
                <w:szCs w:val="24"/>
                <w:lang w:val="uk-UA" w:eastAsia="ru-RU"/>
              </w:rPr>
              <w:t xml:space="preserve">, </w:t>
            </w:r>
            <w:r w:rsidRPr="00B32EAC">
              <w:rPr>
                <w:rFonts w:eastAsia="Times New Roman"/>
                <w:i/>
                <w:iCs/>
                <w:sz w:val="24"/>
                <w:szCs w:val="24"/>
                <w:lang w:val="uk-UA" w:eastAsia="ru-RU"/>
              </w:rPr>
              <w:t>укладеного відповідно до пунктів 10 і 13 (крім підпункту 13 пункту 13) особливостей,</w:t>
            </w:r>
            <w:r w:rsidRPr="00B32EAC">
              <w:rPr>
                <w:rFonts w:eastAsia="Times New Roman"/>
                <w:sz w:val="24"/>
                <w:szCs w:val="24"/>
                <w:lang w:val="uk-UA" w:eastAsia="ru-RU"/>
              </w:rPr>
              <w:t xml:space="preserve"> </w:t>
            </w:r>
            <w:r w:rsidRPr="00B32EAC">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1) зменшення обсягів закупівлі, зокрема з урахуванням фактичного обсягу видатків замовника;</w:t>
            </w:r>
          </w:p>
          <w:p w14:paraId="0741C13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9EFC6F"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46D56F"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w:t>
            </w:r>
          </w:p>
          <w:p w14:paraId="2E76FC7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32EAC">
              <w:rPr>
                <w:rFonts w:eastAsia="Times New Roman"/>
                <w:sz w:val="24"/>
                <w:szCs w:val="24"/>
                <w:lang w:val="uk-UA" w:eastAsia="ru-RU"/>
              </w:rPr>
              <w:lastRenderedPageBreak/>
              <w:t>замовника, за умови що такі зміни не призведуть до збільшення суми, визначеної в договорі про закупівлю;</w:t>
            </w:r>
          </w:p>
          <w:p w14:paraId="25C0FB7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77CA719"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w:t>
            </w:r>
          </w:p>
          <w:p w14:paraId="04236F3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до зміни таких ставок та/або пільг з оподаткування, а також у зв’язку зі зміною системи оподаткування пропорційно до зміни податкового навантаження</w:t>
            </w:r>
          </w:p>
          <w:p w14:paraId="5E6EFBBB"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внаслідок зміни системи оподаткування;</w:t>
            </w:r>
          </w:p>
          <w:p w14:paraId="62BC11D8"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w:t>
            </w:r>
          </w:p>
          <w:p w14:paraId="64056E4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 xml:space="preserve">біржових котирувань або показників </w:t>
            </w:r>
            <w:proofErr w:type="spellStart"/>
            <w:r w:rsidRPr="00B32EAC">
              <w:rPr>
                <w:rFonts w:eastAsia="Times New Roman"/>
                <w:sz w:val="24"/>
                <w:szCs w:val="24"/>
                <w:lang w:val="uk-UA" w:eastAsia="ru-RU"/>
              </w:rPr>
              <w:t>Platts</w:t>
            </w:r>
            <w:proofErr w:type="spellEnd"/>
            <w:r w:rsidRPr="00B32EAC">
              <w:rPr>
                <w:rFonts w:eastAsia="Times New Roman"/>
                <w:sz w:val="24"/>
                <w:szCs w:val="24"/>
                <w:lang w:val="uk-UA" w:eastAsia="ru-RU"/>
              </w:rPr>
              <w:t>, ARGUS, регульованих цін (тарифів),</w:t>
            </w:r>
          </w:p>
          <w:p w14:paraId="3F6549DA"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CF0DC8" w14:textId="77777777" w:rsidR="00AC6938" w:rsidRPr="00B32EAC"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B32EAC">
              <w:rPr>
                <w:rFonts w:eastAsia="Times New Roman"/>
                <w:sz w:val="24"/>
                <w:szCs w:val="24"/>
                <w:lang w:val="uk-UA" w:eastAsia="ru-RU"/>
              </w:rPr>
              <w:t>8) зміни умов у зв’язку із застосуванням положень частини шостої статті 41 Закону.</w:t>
            </w:r>
          </w:p>
        </w:tc>
      </w:tr>
      <w:tr w:rsidR="00A04D79" w:rsidRPr="005605B2"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Pr="00B32EAC"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B32EAC">
              <w:rPr>
                <w:rFonts w:eastAsia="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8"/>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B7866"/>
    <w:rsid w:val="000C260F"/>
    <w:rsid w:val="000C64D3"/>
    <w:rsid w:val="000D7858"/>
    <w:rsid w:val="000F115A"/>
    <w:rsid w:val="000F1267"/>
    <w:rsid w:val="00104074"/>
    <w:rsid w:val="0011402B"/>
    <w:rsid w:val="00173F45"/>
    <w:rsid w:val="001815D5"/>
    <w:rsid w:val="00182D80"/>
    <w:rsid w:val="001874A6"/>
    <w:rsid w:val="00197C38"/>
    <w:rsid w:val="001A2C39"/>
    <w:rsid w:val="001A6C3D"/>
    <w:rsid w:val="001B3097"/>
    <w:rsid w:val="001B7513"/>
    <w:rsid w:val="001B79BE"/>
    <w:rsid w:val="001C6EEA"/>
    <w:rsid w:val="001D5C54"/>
    <w:rsid w:val="001E436D"/>
    <w:rsid w:val="00205CDD"/>
    <w:rsid w:val="002243C8"/>
    <w:rsid w:val="00225A42"/>
    <w:rsid w:val="00240934"/>
    <w:rsid w:val="00244885"/>
    <w:rsid w:val="0024522F"/>
    <w:rsid w:val="0025152F"/>
    <w:rsid w:val="00265CF7"/>
    <w:rsid w:val="00267D67"/>
    <w:rsid w:val="00270630"/>
    <w:rsid w:val="002776DD"/>
    <w:rsid w:val="00284A47"/>
    <w:rsid w:val="002B0081"/>
    <w:rsid w:val="002B026C"/>
    <w:rsid w:val="002B27B2"/>
    <w:rsid w:val="002B2AD9"/>
    <w:rsid w:val="002C0748"/>
    <w:rsid w:val="002C566D"/>
    <w:rsid w:val="002D53CC"/>
    <w:rsid w:val="002E47C5"/>
    <w:rsid w:val="002F0F26"/>
    <w:rsid w:val="00301FF6"/>
    <w:rsid w:val="00302DFA"/>
    <w:rsid w:val="003111CF"/>
    <w:rsid w:val="00314818"/>
    <w:rsid w:val="00324DBF"/>
    <w:rsid w:val="003274F5"/>
    <w:rsid w:val="00370456"/>
    <w:rsid w:val="00370E20"/>
    <w:rsid w:val="00372F7C"/>
    <w:rsid w:val="003836F8"/>
    <w:rsid w:val="003A016E"/>
    <w:rsid w:val="003A2F5F"/>
    <w:rsid w:val="003B215E"/>
    <w:rsid w:val="003E4215"/>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605B2"/>
    <w:rsid w:val="00573547"/>
    <w:rsid w:val="00573753"/>
    <w:rsid w:val="005833BD"/>
    <w:rsid w:val="005976D9"/>
    <w:rsid w:val="005B301D"/>
    <w:rsid w:val="005B6F6B"/>
    <w:rsid w:val="005C4393"/>
    <w:rsid w:val="005F10EA"/>
    <w:rsid w:val="005F3335"/>
    <w:rsid w:val="005F3910"/>
    <w:rsid w:val="005F716C"/>
    <w:rsid w:val="00614564"/>
    <w:rsid w:val="0061462D"/>
    <w:rsid w:val="0061782C"/>
    <w:rsid w:val="00620164"/>
    <w:rsid w:val="006216B5"/>
    <w:rsid w:val="0063521C"/>
    <w:rsid w:val="006359BF"/>
    <w:rsid w:val="0064649F"/>
    <w:rsid w:val="00646E4B"/>
    <w:rsid w:val="006B174C"/>
    <w:rsid w:val="006C088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04D79"/>
    <w:rsid w:val="00A23CC8"/>
    <w:rsid w:val="00A31219"/>
    <w:rsid w:val="00A333CE"/>
    <w:rsid w:val="00A365DF"/>
    <w:rsid w:val="00A62A62"/>
    <w:rsid w:val="00A86B2A"/>
    <w:rsid w:val="00A91954"/>
    <w:rsid w:val="00A94E89"/>
    <w:rsid w:val="00AA203D"/>
    <w:rsid w:val="00AB10E9"/>
    <w:rsid w:val="00AB2D5F"/>
    <w:rsid w:val="00AC3AC4"/>
    <w:rsid w:val="00AC6938"/>
    <w:rsid w:val="00AD1032"/>
    <w:rsid w:val="00AF4497"/>
    <w:rsid w:val="00B0700B"/>
    <w:rsid w:val="00B13A23"/>
    <w:rsid w:val="00B2177E"/>
    <w:rsid w:val="00B25F00"/>
    <w:rsid w:val="00B30FDE"/>
    <w:rsid w:val="00B3272F"/>
    <w:rsid w:val="00B32EAC"/>
    <w:rsid w:val="00B44089"/>
    <w:rsid w:val="00B65D54"/>
    <w:rsid w:val="00B667E7"/>
    <w:rsid w:val="00B7210D"/>
    <w:rsid w:val="00B76A44"/>
    <w:rsid w:val="00BA7483"/>
    <w:rsid w:val="00BC45F1"/>
    <w:rsid w:val="00BD79C9"/>
    <w:rsid w:val="00BE4859"/>
    <w:rsid w:val="00C000C7"/>
    <w:rsid w:val="00C02D2A"/>
    <w:rsid w:val="00C25585"/>
    <w:rsid w:val="00C328FC"/>
    <w:rsid w:val="00C344D3"/>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D1160"/>
    <w:rsid w:val="00DE49F4"/>
    <w:rsid w:val="00DF2EA4"/>
    <w:rsid w:val="00E019FD"/>
    <w:rsid w:val="00E01E4F"/>
    <w:rsid w:val="00E02528"/>
    <w:rsid w:val="00E07081"/>
    <w:rsid w:val="00E15328"/>
    <w:rsid w:val="00E300E1"/>
    <w:rsid w:val="00E326AD"/>
    <w:rsid w:val="00E52A6D"/>
    <w:rsid w:val="00E64194"/>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28581</Words>
  <Characters>16292</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pmsdkrem13@ukr.net</cp:lastModifiedBy>
  <cp:revision>3</cp:revision>
  <cp:lastPrinted>2018-02-23T12:04:00Z</cp:lastPrinted>
  <dcterms:created xsi:type="dcterms:W3CDTF">2023-08-25T07:22:00Z</dcterms:created>
  <dcterms:modified xsi:type="dcterms:W3CDTF">2023-08-25T07:26:00Z</dcterms:modified>
</cp:coreProperties>
</file>