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C0D" w:rsidRPr="00934C0D" w:rsidRDefault="00F279E5" w:rsidP="00934C0D">
      <w:pPr>
        <w:pStyle w:val="af1"/>
        <w:jc w:val="center"/>
        <w:rPr>
          <w:rFonts w:ascii="Times New Roman" w:hAnsi="Times New Roman" w:cs="Times New Roman"/>
          <w:b/>
          <w:color w:val="FF0000"/>
          <w:sz w:val="40"/>
          <w:szCs w:val="40"/>
        </w:rPr>
      </w:pPr>
      <w:r>
        <w:rPr>
          <w:rFonts w:ascii="Times New Roman" w:hAnsi="Times New Roman" w:cs="Times New Roman"/>
          <w:b/>
          <w:sz w:val="40"/>
          <w:szCs w:val="40"/>
          <w:lang w:eastAsia="ar-SA"/>
        </w:rPr>
        <w:t>ЛОКНИЦЬКА СІЛЬСЬКА РАДА</w:t>
      </w:r>
    </w:p>
    <w:p w:rsidR="001611A8" w:rsidRDefault="001611A8">
      <w:pPr>
        <w:spacing w:after="0" w:line="240" w:lineRule="auto"/>
        <w:ind w:left="-1418"/>
        <w:jc w:val="center"/>
        <w:rPr>
          <w:rFonts w:ascii="Times New Roman" w:eastAsia="Times New Roman" w:hAnsi="Times New Roman" w:cs="Times New Roman"/>
          <w:b/>
          <w:color w:val="000000"/>
          <w:sz w:val="24"/>
          <w:szCs w:val="24"/>
        </w:rPr>
      </w:pPr>
    </w:p>
    <w:p w:rsidR="001611A8" w:rsidRDefault="001611A8">
      <w:pPr>
        <w:spacing w:after="0" w:line="240" w:lineRule="auto"/>
        <w:ind w:left="-1418"/>
        <w:jc w:val="right"/>
        <w:rPr>
          <w:rFonts w:ascii="Times New Roman" w:eastAsia="Times New Roman" w:hAnsi="Times New Roman" w:cs="Times New Roman"/>
          <w:b/>
          <w:color w:val="000000"/>
          <w:sz w:val="24"/>
          <w:szCs w:val="24"/>
        </w:rPr>
      </w:pPr>
    </w:p>
    <w:tbl>
      <w:tblPr>
        <w:tblW w:w="0" w:type="auto"/>
        <w:tblInd w:w="3083" w:type="dxa"/>
        <w:tblLayout w:type="fixed"/>
        <w:tblLook w:val="0000" w:firstRow="0" w:lastRow="0" w:firstColumn="0" w:lastColumn="0" w:noHBand="0" w:noVBand="0"/>
      </w:tblPr>
      <w:tblGrid>
        <w:gridCol w:w="5973"/>
      </w:tblGrid>
      <w:tr w:rsidR="00934C0D" w:rsidTr="00934C0D">
        <w:tc>
          <w:tcPr>
            <w:tcW w:w="5973" w:type="dxa"/>
            <w:shd w:val="clear" w:color="auto" w:fill="auto"/>
          </w:tcPr>
          <w:p w:rsidR="00934C0D" w:rsidRPr="00934C0D" w:rsidRDefault="00934C0D" w:rsidP="00934C0D">
            <w:pPr>
              <w:pStyle w:val="af1"/>
              <w:jc w:val="right"/>
              <w:rPr>
                <w:rFonts w:ascii="Times New Roman" w:hAnsi="Times New Roman" w:cs="Times New Roman"/>
                <w:sz w:val="24"/>
                <w:szCs w:val="24"/>
                <w:lang w:eastAsia="ar-SA"/>
              </w:rPr>
            </w:pPr>
            <w:r>
              <w:rPr>
                <w:rFonts w:ascii="Times New Roman" w:hAnsi="Times New Roman" w:cs="Times New Roman"/>
                <w:sz w:val="24"/>
                <w:szCs w:val="24"/>
                <w:lang w:eastAsia="ar-SA"/>
              </w:rPr>
              <w:t xml:space="preserve">                                                                                                                                                                                  </w:t>
            </w:r>
            <w:r w:rsidRPr="00934C0D">
              <w:rPr>
                <w:rFonts w:ascii="Times New Roman" w:hAnsi="Times New Roman" w:cs="Times New Roman"/>
                <w:sz w:val="24"/>
                <w:szCs w:val="24"/>
                <w:lang w:eastAsia="ar-SA"/>
              </w:rPr>
              <w:t>«Затверджено»</w:t>
            </w:r>
          </w:p>
          <w:p w:rsidR="00934C0D" w:rsidRPr="00934C0D" w:rsidRDefault="00934C0D" w:rsidP="00934C0D">
            <w:pPr>
              <w:pStyle w:val="af1"/>
              <w:jc w:val="right"/>
              <w:rPr>
                <w:rFonts w:ascii="Times New Roman" w:hAnsi="Times New Roman" w:cs="Times New Roman"/>
                <w:sz w:val="24"/>
                <w:szCs w:val="24"/>
              </w:rPr>
            </w:pPr>
            <w:r w:rsidRPr="00934C0D">
              <w:rPr>
                <w:rFonts w:ascii="Times New Roman" w:hAnsi="Times New Roman" w:cs="Times New Roman"/>
                <w:sz w:val="24"/>
                <w:szCs w:val="24"/>
                <w:lang w:eastAsia="ar-SA"/>
              </w:rPr>
              <w:t>Рішенням уповноваженої особи</w:t>
            </w:r>
          </w:p>
          <w:p w:rsidR="00934C0D" w:rsidRPr="00934C0D" w:rsidRDefault="00934C0D" w:rsidP="00934C0D">
            <w:pPr>
              <w:pStyle w:val="af1"/>
              <w:jc w:val="right"/>
              <w:rPr>
                <w:rFonts w:ascii="Times New Roman" w:hAnsi="Times New Roman" w:cs="Times New Roman"/>
                <w:sz w:val="24"/>
                <w:szCs w:val="24"/>
              </w:rPr>
            </w:pPr>
            <w:r w:rsidRPr="00934C0D">
              <w:rPr>
                <w:rFonts w:ascii="Times New Roman" w:hAnsi="Times New Roman" w:cs="Times New Roman"/>
                <w:sz w:val="24"/>
                <w:szCs w:val="24"/>
              </w:rPr>
              <w:t>Пр</w:t>
            </w:r>
            <w:r>
              <w:rPr>
                <w:rFonts w:ascii="Times New Roman" w:hAnsi="Times New Roman" w:cs="Times New Roman"/>
                <w:sz w:val="24"/>
                <w:szCs w:val="24"/>
              </w:rPr>
              <w:t>отокол</w:t>
            </w:r>
            <w:r w:rsidR="001872CB">
              <w:rPr>
                <w:rFonts w:ascii="Times New Roman" w:hAnsi="Times New Roman" w:cs="Times New Roman"/>
                <w:sz w:val="24"/>
                <w:szCs w:val="24"/>
              </w:rPr>
              <w:t xml:space="preserve"> № </w:t>
            </w:r>
            <w:r w:rsidR="001872CB" w:rsidRPr="001872CB">
              <w:rPr>
                <w:rFonts w:ascii="Times New Roman" w:hAnsi="Times New Roman" w:cs="Times New Roman"/>
                <w:sz w:val="24"/>
                <w:szCs w:val="24"/>
                <w:lang w:val="ru-RU"/>
              </w:rPr>
              <w:t>12/01-23</w:t>
            </w:r>
            <w:r>
              <w:rPr>
                <w:rFonts w:ascii="Times New Roman" w:hAnsi="Times New Roman" w:cs="Times New Roman"/>
                <w:sz w:val="24"/>
                <w:szCs w:val="24"/>
              </w:rPr>
              <w:t xml:space="preserve"> </w:t>
            </w:r>
            <w:r w:rsidRPr="00934C0D">
              <w:rPr>
                <w:rFonts w:ascii="Times New Roman" w:hAnsi="Times New Roman" w:cs="Times New Roman"/>
                <w:sz w:val="24"/>
                <w:szCs w:val="24"/>
                <w:u w:val="single"/>
              </w:rPr>
              <w:t xml:space="preserve"> </w:t>
            </w:r>
            <w:r w:rsidRPr="00934C0D">
              <w:rPr>
                <w:rFonts w:ascii="Times New Roman" w:hAnsi="Times New Roman" w:cs="Times New Roman"/>
                <w:sz w:val="24"/>
                <w:szCs w:val="24"/>
                <w:u w:val="single"/>
                <w:lang w:eastAsia="ar-SA"/>
              </w:rPr>
              <w:t xml:space="preserve">від  </w:t>
            </w:r>
            <w:r w:rsidR="00F279E5">
              <w:rPr>
                <w:rFonts w:ascii="Times New Roman" w:hAnsi="Times New Roman" w:cs="Times New Roman"/>
                <w:sz w:val="24"/>
                <w:szCs w:val="24"/>
                <w:u w:val="single"/>
                <w:lang w:eastAsia="ar-SA"/>
              </w:rPr>
              <w:t>23</w:t>
            </w:r>
            <w:r>
              <w:rPr>
                <w:rFonts w:ascii="Times New Roman" w:hAnsi="Times New Roman" w:cs="Times New Roman"/>
                <w:sz w:val="24"/>
                <w:szCs w:val="24"/>
                <w:u w:val="single"/>
                <w:lang w:eastAsia="ar-SA"/>
              </w:rPr>
              <w:t xml:space="preserve"> березня</w:t>
            </w:r>
            <w:r w:rsidRPr="00934C0D">
              <w:rPr>
                <w:rFonts w:ascii="Times New Roman" w:hAnsi="Times New Roman" w:cs="Times New Roman"/>
                <w:sz w:val="24"/>
                <w:szCs w:val="24"/>
                <w:u w:val="single"/>
                <w:lang w:eastAsia="ar-SA"/>
              </w:rPr>
              <w:t xml:space="preserve"> 2023 року</w:t>
            </w:r>
          </w:p>
        </w:tc>
      </w:tr>
      <w:tr w:rsidR="00934C0D" w:rsidTr="00934C0D">
        <w:trPr>
          <w:trHeight w:val="546"/>
        </w:trPr>
        <w:tc>
          <w:tcPr>
            <w:tcW w:w="5973" w:type="dxa"/>
            <w:shd w:val="clear" w:color="auto" w:fill="auto"/>
          </w:tcPr>
          <w:p w:rsidR="00934C0D" w:rsidRPr="00934C0D" w:rsidRDefault="00934C0D" w:rsidP="00934C0D">
            <w:pPr>
              <w:pStyle w:val="af1"/>
              <w:jc w:val="right"/>
              <w:rPr>
                <w:rFonts w:ascii="Times New Roman" w:hAnsi="Times New Roman" w:cs="Times New Roman"/>
                <w:sz w:val="24"/>
                <w:szCs w:val="24"/>
                <w:lang w:eastAsia="ar-SA"/>
              </w:rPr>
            </w:pPr>
          </w:p>
        </w:tc>
      </w:tr>
      <w:tr w:rsidR="00934C0D" w:rsidTr="00934C0D">
        <w:tc>
          <w:tcPr>
            <w:tcW w:w="5973" w:type="dxa"/>
            <w:shd w:val="clear" w:color="auto" w:fill="auto"/>
          </w:tcPr>
          <w:p w:rsidR="00934C0D" w:rsidRPr="00934C0D" w:rsidRDefault="00F279E5" w:rsidP="00934C0D">
            <w:pPr>
              <w:pStyle w:val="af1"/>
              <w:jc w:val="right"/>
              <w:rPr>
                <w:rFonts w:ascii="Times New Roman" w:hAnsi="Times New Roman" w:cs="Times New Roman"/>
                <w:sz w:val="24"/>
                <w:szCs w:val="24"/>
              </w:rPr>
            </w:pPr>
            <w:r>
              <w:rPr>
                <w:rFonts w:ascii="Times New Roman" w:hAnsi="Times New Roman" w:cs="Times New Roman"/>
                <w:sz w:val="24"/>
                <w:szCs w:val="24"/>
                <w:lang w:eastAsia="ar-SA"/>
              </w:rPr>
              <w:t>_______________Олена ШВАЙКО</w:t>
            </w:r>
          </w:p>
        </w:tc>
      </w:tr>
    </w:tbl>
    <w:p w:rsidR="001611A8" w:rsidRDefault="001611A8">
      <w:pPr>
        <w:spacing w:after="0" w:line="240" w:lineRule="auto"/>
        <w:jc w:val="right"/>
        <w:rPr>
          <w:rFonts w:ascii="Times New Roman" w:eastAsia="Times New Roman" w:hAnsi="Times New Roman" w:cs="Times New Roman"/>
          <w:sz w:val="24"/>
          <w:szCs w:val="24"/>
          <w:highlight w:val="yellow"/>
        </w:rPr>
      </w:pPr>
    </w:p>
    <w:p w:rsidR="001611A8" w:rsidRDefault="00E77D31">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1611A8" w:rsidRDefault="001611A8">
      <w:pPr>
        <w:spacing w:after="0" w:line="240" w:lineRule="auto"/>
        <w:rPr>
          <w:rFonts w:ascii="Times New Roman" w:eastAsia="Times New Roman" w:hAnsi="Times New Roman" w:cs="Times New Roman"/>
          <w:b/>
          <w:color w:val="000000"/>
          <w:sz w:val="24"/>
          <w:szCs w:val="24"/>
        </w:rPr>
      </w:pPr>
    </w:p>
    <w:tbl>
      <w:tblPr>
        <w:tblpPr w:leftFromText="180" w:rightFromText="180" w:vertAnchor="text" w:horzAnchor="margin" w:tblpY="149"/>
        <w:tblW w:w="0" w:type="auto"/>
        <w:tblLayout w:type="fixed"/>
        <w:tblLook w:val="0000" w:firstRow="0" w:lastRow="0" w:firstColumn="0" w:lastColumn="0" w:noHBand="0" w:noVBand="0"/>
      </w:tblPr>
      <w:tblGrid>
        <w:gridCol w:w="9847"/>
      </w:tblGrid>
      <w:tr w:rsidR="00934C0D" w:rsidRPr="00934C0D" w:rsidTr="00934C0D">
        <w:tc>
          <w:tcPr>
            <w:tcW w:w="9847" w:type="dxa"/>
            <w:shd w:val="clear" w:color="auto" w:fill="auto"/>
          </w:tcPr>
          <w:p w:rsidR="00934C0D" w:rsidRPr="00934C0D" w:rsidRDefault="00934C0D" w:rsidP="00934C0D">
            <w:pPr>
              <w:jc w:val="center"/>
              <w:rPr>
                <w:rFonts w:ascii="Times New Roman" w:hAnsi="Times New Roman" w:cs="Times New Roman"/>
              </w:rPr>
            </w:pPr>
            <w:r w:rsidRPr="00934C0D">
              <w:rPr>
                <w:rFonts w:ascii="Times New Roman" w:hAnsi="Times New Roman" w:cs="Times New Roman"/>
                <w:b/>
                <w:bCs/>
                <w:sz w:val="40"/>
                <w:szCs w:val="40"/>
              </w:rPr>
              <w:t>ТЕНДЕРНА ДОКУМЕНТАЦІЯ</w:t>
            </w:r>
          </w:p>
        </w:tc>
      </w:tr>
    </w:tbl>
    <w:p w:rsidR="00934C0D" w:rsidRPr="00934C0D" w:rsidRDefault="00934C0D" w:rsidP="00934C0D">
      <w:pPr>
        <w:spacing w:after="0" w:line="240" w:lineRule="auto"/>
        <w:jc w:val="center"/>
        <w:rPr>
          <w:rFonts w:ascii="Times New Roman" w:eastAsia="Times New Roman" w:hAnsi="Times New Roman" w:cs="Times New Roman"/>
          <w:b/>
          <w:color w:val="000000"/>
          <w:sz w:val="24"/>
          <w:szCs w:val="24"/>
        </w:rPr>
      </w:pPr>
      <w:r w:rsidRPr="00934C0D">
        <w:rPr>
          <w:rFonts w:ascii="Times New Roman" w:hAnsi="Times New Roman" w:cs="Times New Roman"/>
          <w:b/>
          <w:bCs/>
          <w:sz w:val="36"/>
          <w:szCs w:val="36"/>
        </w:rPr>
        <w:t>на закупівлю</w:t>
      </w:r>
    </w:p>
    <w:p w:rsidR="00934C0D" w:rsidRPr="00934C0D" w:rsidRDefault="00934C0D" w:rsidP="00934C0D">
      <w:pPr>
        <w:tabs>
          <w:tab w:val="left" w:pos="4406"/>
        </w:tabs>
        <w:jc w:val="center"/>
        <w:rPr>
          <w:rFonts w:ascii="Times New Roman" w:hAnsi="Times New Roman" w:cs="Times New Roman"/>
          <w:b/>
          <w:bCs/>
          <w:color w:val="000000"/>
          <w:sz w:val="36"/>
          <w:szCs w:val="36"/>
          <w:u w:val="single"/>
        </w:rPr>
      </w:pPr>
    </w:p>
    <w:p w:rsidR="00934C0D" w:rsidRPr="00934C0D" w:rsidRDefault="00934C0D" w:rsidP="00934C0D">
      <w:pPr>
        <w:shd w:val="clear" w:color="auto" w:fill="FFFFFF"/>
        <w:contextualSpacing/>
        <w:jc w:val="center"/>
        <w:rPr>
          <w:rFonts w:ascii="Times New Roman" w:hAnsi="Times New Roman" w:cs="Times New Roman"/>
          <w:b/>
          <w:color w:val="000000"/>
          <w:sz w:val="28"/>
          <w:szCs w:val="28"/>
          <w:u w:val="single"/>
          <w:shd w:val="clear" w:color="auto" w:fill="FFFFFF"/>
        </w:rPr>
      </w:pPr>
      <w:bookmarkStart w:id="0" w:name="_Hlk93054334"/>
      <w:bookmarkStart w:id="1" w:name="_Hlk50633120"/>
      <w:bookmarkStart w:id="2" w:name="_GoBack"/>
      <w:r w:rsidRPr="00934C0D">
        <w:rPr>
          <w:rFonts w:ascii="Times New Roman" w:hAnsi="Times New Roman" w:cs="Times New Roman"/>
          <w:b/>
          <w:color w:val="000000"/>
          <w:sz w:val="28"/>
          <w:szCs w:val="28"/>
          <w:u w:val="single"/>
          <w:shd w:val="clear" w:color="auto" w:fill="FFFFFF"/>
        </w:rPr>
        <w:t xml:space="preserve">ДК 021:2015: 09130000-9 - </w:t>
      </w:r>
      <w:r w:rsidRPr="00934C0D">
        <w:rPr>
          <w:rFonts w:ascii="Times New Roman" w:hAnsi="Times New Roman" w:cs="Times New Roman"/>
          <w:b/>
          <w:bCs/>
          <w:color w:val="000000"/>
          <w:sz w:val="28"/>
          <w:szCs w:val="28"/>
          <w:u w:val="single"/>
        </w:rPr>
        <w:t>Нафта і дистиляти</w:t>
      </w:r>
      <w:r w:rsidRPr="00934C0D">
        <w:rPr>
          <w:rFonts w:ascii="Times New Roman" w:hAnsi="Times New Roman" w:cs="Times New Roman"/>
          <w:b/>
          <w:color w:val="000000"/>
          <w:sz w:val="28"/>
          <w:szCs w:val="28"/>
          <w:u w:val="single"/>
          <w:shd w:val="clear" w:color="auto" w:fill="FFFFFF"/>
        </w:rPr>
        <w:t xml:space="preserve"> </w:t>
      </w:r>
    </w:p>
    <w:p w:rsidR="00934C0D" w:rsidRPr="00934C0D" w:rsidRDefault="00934C0D" w:rsidP="00934C0D">
      <w:pPr>
        <w:shd w:val="clear" w:color="auto" w:fill="FFFFFF"/>
        <w:contextualSpacing/>
        <w:jc w:val="center"/>
        <w:rPr>
          <w:rFonts w:ascii="Times New Roman" w:hAnsi="Times New Roman" w:cs="Times New Roman"/>
          <w:u w:val="single"/>
        </w:rPr>
      </w:pPr>
      <w:r w:rsidRPr="00934C0D">
        <w:rPr>
          <w:rFonts w:ascii="Times New Roman" w:hAnsi="Times New Roman" w:cs="Times New Roman"/>
          <w:b/>
          <w:color w:val="000000"/>
          <w:sz w:val="28"/>
          <w:szCs w:val="28"/>
          <w:u w:val="single"/>
          <w:shd w:val="clear" w:color="auto" w:fill="FFFFFF"/>
        </w:rPr>
        <w:t>(</w:t>
      </w:r>
      <w:r w:rsidRPr="00934C0D">
        <w:rPr>
          <w:rFonts w:ascii="Times New Roman" w:hAnsi="Times New Roman" w:cs="Times New Roman"/>
          <w:b/>
          <w:bCs/>
          <w:color w:val="000000"/>
          <w:sz w:val="28"/>
          <w:szCs w:val="28"/>
          <w:u w:val="single"/>
        </w:rPr>
        <w:t>Бензин А – 95 (09132000-3 Бензин), Дизельне паливо (09134200-9 Дизельне паливо) (в</w:t>
      </w:r>
      <w:r w:rsidR="004C564A">
        <w:rPr>
          <w:rFonts w:ascii="Times New Roman" w:hAnsi="Times New Roman" w:cs="Times New Roman"/>
          <w:b/>
          <w:bCs/>
          <w:color w:val="000000"/>
          <w:sz w:val="28"/>
          <w:szCs w:val="28"/>
          <w:u w:val="single"/>
        </w:rPr>
        <w:t xml:space="preserve"> </w:t>
      </w:r>
      <w:r w:rsidRPr="00934C0D">
        <w:rPr>
          <w:rFonts w:ascii="Times New Roman" w:hAnsi="Times New Roman" w:cs="Times New Roman"/>
          <w:b/>
          <w:bCs/>
          <w:color w:val="000000"/>
          <w:sz w:val="28"/>
          <w:szCs w:val="28"/>
          <w:u w:val="single"/>
        </w:rPr>
        <w:t xml:space="preserve"> талонах)</w:t>
      </w:r>
      <w:r w:rsidRPr="00934C0D">
        <w:rPr>
          <w:rFonts w:ascii="Times New Roman" w:hAnsi="Times New Roman" w:cs="Times New Roman"/>
          <w:b/>
          <w:color w:val="000000"/>
          <w:sz w:val="28"/>
          <w:szCs w:val="28"/>
          <w:u w:val="single"/>
          <w:shd w:val="clear" w:color="auto" w:fill="FFFFFF"/>
        </w:rPr>
        <w:t>)</w:t>
      </w:r>
    </w:p>
    <w:bookmarkEnd w:id="0"/>
    <w:bookmarkEnd w:id="2"/>
    <w:p w:rsidR="00934C0D" w:rsidRPr="00934C0D" w:rsidRDefault="00934C0D" w:rsidP="00934C0D">
      <w:pPr>
        <w:shd w:val="clear" w:color="auto" w:fill="FFFFFF"/>
        <w:contextualSpacing/>
        <w:jc w:val="center"/>
        <w:rPr>
          <w:rFonts w:ascii="Times New Roman" w:hAnsi="Times New Roman" w:cs="Times New Roman"/>
          <w:b/>
          <w:bCs/>
          <w:color w:val="000000"/>
          <w:sz w:val="32"/>
          <w:szCs w:val="32"/>
          <w:shd w:val="clear" w:color="auto" w:fill="FFFFFF"/>
        </w:rPr>
      </w:pPr>
    </w:p>
    <w:p w:rsidR="00934C0D" w:rsidRPr="00934C0D" w:rsidRDefault="00934C0D" w:rsidP="00934C0D">
      <w:pPr>
        <w:shd w:val="clear" w:color="auto" w:fill="FFFFFF"/>
        <w:jc w:val="center"/>
        <w:rPr>
          <w:rFonts w:ascii="Times New Roman" w:hAnsi="Times New Roman" w:cs="Times New Roman"/>
          <w:b/>
          <w:bCs/>
          <w:color w:val="000000"/>
          <w:sz w:val="32"/>
          <w:szCs w:val="32"/>
          <w:shd w:val="clear" w:color="auto" w:fill="FFFFFF"/>
        </w:rPr>
      </w:pPr>
    </w:p>
    <w:bookmarkEnd w:id="1"/>
    <w:p w:rsidR="00934C0D" w:rsidRPr="00934C0D" w:rsidRDefault="00934C0D" w:rsidP="00934C0D">
      <w:pPr>
        <w:jc w:val="center"/>
        <w:rPr>
          <w:rFonts w:ascii="Times New Roman" w:hAnsi="Times New Roman" w:cs="Times New Roman"/>
        </w:rPr>
      </w:pPr>
      <w:r w:rsidRPr="00934C0D">
        <w:rPr>
          <w:rFonts w:ascii="Times New Roman" w:hAnsi="Times New Roman" w:cs="Times New Roman"/>
        </w:rPr>
        <w:t>за процедурою</w:t>
      </w:r>
    </w:p>
    <w:tbl>
      <w:tblPr>
        <w:tblW w:w="0" w:type="auto"/>
        <w:tblLayout w:type="fixed"/>
        <w:tblLook w:val="0000" w:firstRow="0" w:lastRow="0" w:firstColumn="0" w:lastColumn="0" w:noHBand="0" w:noVBand="0"/>
      </w:tblPr>
      <w:tblGrid>
        <w:gridCol w:w="9847"/>
      </w:tblGrid>
      <w:tr w:rsidR="00934C0D" w:rsidRPr="00934C0D" w:rsidTr="000E1008">
        <w:tc>
          <w:tcPr>
            <w:tcW w:w="9847" w:type="dxa"/>
            <w:shd w:val="clear" w:color="auto" w:fill="auto"/>
          </w:tcPr>
          <w:p w:rsidR="00934C0D" w:rsidRPr="00934C0D" w:rsidRDefault="00934C0D" w:rsidP="000E1008">
            <w:pPr>
              <w:snapToGrid w:val="0"/>
              <w:jc w:val="center"/>
              <w:rPr>
                <w:rFonts w:ascii="Times New Roman" w:hAnsi="Times New Roman" w:cs="Times New Roman"/>
                <w:b/>
                <w:bCs/>
                <w:sz w:val="36"/>
                <w:szCs w:val="36"/>
              </w:rPr>
            </w:pPr>
          </w:p>
          <w:p w:rsidR="00934C0D" w:rsidRPr="00934C0D" w:rsidRDefault="00934C0D" w:rsidP="000E1008">
            <w:pPr>
              <w:jc w:val="center"/>
              <w:rPr>
                <w:rFonts w:ascii="Times New Roman" w:hAnsi="Times New Roman" w:cs="Times New Roman"/>
                <w:sz w:val="36"/>
                <w:szCs w:val="36"/>
              </w:rPr>
            </w:pPr>
            <w:r w:rsidRPr="00934C0D">
              <w:rPr>
                <w:rFonts w:ascii="Times New Roman" w:hAnsi="Times New Roman" w:cs="Times New Roman"/>
                <w:b/>
                <w:bCs/>
                <w:sz w:val="36"/>
                <w:szCs w:val="36"/>
              </w:rPr>
              <w:t>ВІДКРИТИХ ТОРГІВ</w:t>
            </w:r>
            <w:r w:rsidRPr="00934C0D">
              <w:rPr>
                <w:rFonts w:ascii="Times New Roman" w:hAnsi="Times New Roman" w:cs="Times New Roman"/>
                <w:b/>
                <w:bCs/>
                <w:sz w:val="36"/>
                <w:szCs w:val="36"/>
                <w:lang w:val="ru-RU"/>
              </w:rPr>
              <w:t xml:space="preserve"> (З ОСОБЛИВОСТЯМИ)</w:t>
            </w:r>
          </w:p>
        </w:tc>
      </w:tr>
    </w:tbl>
    <w:p w:rsidR="00934C0D" w:rsidRPr="00934C0D" w:rsidRDefault="00934C0D" w:rsidP="00934C0D">
      <w:pPr>
        <w:rPr>
          <w:rFonts w:ascii="Times New Roman" w:hAnsi="Times New Roman" w:cs="Times New Roman"/>
          <w:b/>
          <w:bCs/>
          <w:sz w:val="36"/>
          <w:szCs w:val="36"/>
        </w:rPr>
      </w:pPr>
    </w:p>
    <w:p w:rsidR="00934C0D" w:rsidRDefault="00934C0D" w:rsidP="00934C0D">
      <w:pPr>
        <w:jc w:val="center"/>
        <w:rPr>
          <w:b/>
          <w:bCs/>
          <w:sz w:val="28"/>
          <w:szCs w:val="28"/>
        </w:rPr>
      </w:pPr>
    </w:p>
    <w:p w:rsidR="00934C0D" w:rsidRDefault="00934C0D" w:rsidP="00934C0D">
      <w:pPr>
        <w:pStyle w:val="22"/>
        <w:ind w:firstLine="0"/>
        <w:jc w:val="center"/>
        <w:rPr>
          <w:b/>
          <w:bCs/>
          <w:color w:val="auto"/>
          <w:sz w:val="24"/>
          <w:szCs w:val="24"/>
        </w:rPr>
      </w:pPr>
    </w:p>
    <w:p w:rsidR="00934C0D" w:rsidRDefault="00934C0D" w:rsidP="00934C0D">
      <w:pPr>
        <w:pStyle w:val="22"/>
        <w:ind w:firstLine="0"/>
        <w:jc w:val="center"/>
        <w:rPr>
          <w:b/>
          <w:bCs/>
          <w:color w:val="auto"/>
          <w:sz w:val="24"/>
          <w:szCs w:val="24"/>
        </w:rPr>
      </w:pPr>
    </w:p>
    <w:p w:rsidR="00934C0D" w:rsidRDefault="00934C0D" w:rsidP="00934C0D">
      <w:pPr>
        <w:pStyle w:val="22"/>
        <w:ind w:firstLine="0"/>
        <w:jc w:val="center"/>
        <w:rPr>
          <w:b/>
          <w:bCs/>
          <w:color w:val="auto"/>
          <w:sz w:val="24"/>
          <w:szCs w:val="24"/>
        </w:rPr>
      </w:pPr>
    </w:p>
    <w:p w:rsidR="00934C0D" w:rsidRDefault="00934C0D" w:rsidP="00934C0D">
      <w:pPr>
        <w:pStyle w:val="22"/>
        <w:ind w:firstLine="0"/>
        <w:jc w:val="center"/>
        <w:rPr>
          <w:b/>
          <w:bCs/>
          <w:color w:val="auto"/>
          <w:sz w:val="24"/>
          <w:szCs w:val="24"/>
        </w:rPr>
      </w:pPr>
    </w:p>
    <w:p w:rsidR="00934C0D" w:rsidRDefault="00934C0D" w:rsidP="00934C0D">
      <w:pPr>
        <w:pStyle w:val="22"/>
        <w:ind w:firstLine="0"/>
        <w:jc w:val="center"/>
        <w:rPr>
          <w:b/>
          <w:bCs/>
          <w:color w:val="auto"/>
          <w:sz w:val="24"/>
          <w:szCs w:val="24"/>
        </w:rPr>
      </w:pPr>
    </w:p>
    <w:p w:rsidR="00934C0D" w:rsidRDefault="00934C0D" w:rsidP="00934C0D">
      <w:pPr>
        <w:pStyle w:val="22"/>
        <w:ind w:firstLine="0"/>
        <w:jc w:val="center"/>
        <w:rPr>
          <w:b/>
          <w:bCs/>
          <w:color w:val="auto"/>
          <w:sz w:val="24"/>
          <w:szCs w:val="24"/>
        </w:rPr>
      </w:pPr>
    </w:p>
    <w:p w:rsidR="00934C0D" w:rsidRDefault="00934C0D" w:rsidP="00934C0D">
      <w:pPr>
        <w:pStyle w:val="22"/>
        <w:ind w:firstLine="0"/>
        <w:jc w:val="center"/>
        <w:rPr>
          <w:b/>
          <w:bCs/>
          <w:color w:val="auto"/>
          <w:sz w:val="24"/>
          <w:szCs w:val="24"/>
        </w:rPr>
      </w:pPr>
    </w:p>
    <w:p w:rsidR="001611A8" w:rsidRDefault="003C26DE" w:rsidP="006023D6">
      <w:pPr>
        <w:pStyle w:val="22"/>
        <w:ind w:firstLine="0"/>
        <w:rPr>
          <w:b/>
          <w:bCs/>
          <w:color w:val="auto"/>
          <w:sz w:val="24"/>
          <w:szCs w:val="24"/>
        </w:rPr>
      </w:pPr>
      <w:r>
        <w:rPr>
          <w:b/>
          <w:bCs/>
          <w:color w:val="auto"/>
          <w:sz w:val="24"/>
          <w:szCs w:val="24"/>
        </w:rPr>
        <w:t xml:space="preserve">                                                            </w:t>
      </w:r>
      <w:r w:rsidR="00F279E5">
        <w:rPr>
          <w:b/>
          <w:bCs/>
          <w:color w:val="auto"/>
          <w:sz w:val="24"/>
          <w:szCs w:val="24"/>
        </w:rPr>
        <w:t>село Локниця</w:t>
      </w:r>
      <w:r w:rsidR="00934C0D">
        <w:rPr>
          <w:b/>
          <w:bCs/>
          <w:color w:val="auto"/>
          <w:sz w:val="24"/>
          <w:szCs w:val="24"/>
        </w:rPr>
        <w:t xml:space="preserve"> </w:t>
      </w:r>
      <w:r w:rsidR="00F279E5">
        <w:rPr>
          <w:b/>
          <w:bCs/>
          <w:color w:val="auto"/>
          <w:sz w:val="24"/>
          <w:szCs w:val="24"/>
        </w:rPr>
        <w:t>–</w:t>
      </w:r>
      <w:r w:rsidR="00934C0D">
        <w:rPr>
          <w:b/>
          <w:bCs/>
          <w:color w:val="auto"/>
          <w:sz w:val="24"/>
          <w:szCs w:val="24"/>
        </w:rPr>
        <w:t xml:space="preserve"> 202</w:t>
      </w:r>
      <w:r w:rsidR="006023D6">
        <w:rPr>
          <w:b/>
          <w:bCs/>
          <w:color w:val="auto"/>
          <w:sz w:val="24"/>
          <w:szCs w:val="24"/>
        </w:rPr>
        <w:t>3</w:t>
      </w:r>
    </w:p>
    <w:p w:rsidR="00F279E5" w:rsidRPr="006023D6" w:rsidRDefault="00F279E5" w:rsidP="006023D6">
      <w:pPr>
        <w:pStyle w:val="22"/>
        <w:ind w:firstLine="0"/>
      </w:pPr>
    </w:p>
    <w:p w:rsidR="00934C0D" w:rsidRDefault="00934C0D">
      <w:pPr>
        <w:spacing w:after="0" w:line="240" w:lineRule="auto"/>
        <w:rPr>
          <w:rFonts w:ascii="Times New Roman" w:eastAsia="Times New Roman" w:hAnsi="Times New Roman" w:cs="Times New Roman"/>
          <w:sz w:val="24"/>
          <w:szCs w:val="24"/>
        </w:rPr>
      </w:pPr>
    </w:p>
    <w:p w:rsidR="001611A8" w:rsidRDefault="001611A8">
      <w:pPr>
        <w:spacing w:after="0" w:line="240" w:lineRule="auto"/>
        <w:jc w:val="both"/>
        <w:rPr>
          <w:rFonts w:ascii="Times New Roman" w:eastAsia="Times New Roman" w:hAnsi="Times New Roman" w:cs="Times New Roman"/>
          <w:sz w:val="24"/>
          <w:szCs w:val="24"/>
        </w:rPr>
      </w:pPr>
    </w:p>
    <w:tbl>
      <w:tblPr>
        <w:tblStyle w:val="af"/>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1611A8">
        <w:trPr>
          <w:trHeight w:val="416"/>
          <w:jc w:val="center"/>
        </w:trPr>
        <w:tc>
          <w:tcPr>
            <w:tcW w:w="705" w:type="dxa"/>
            <w:vAlign w:val="center"/>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p>
        </w:tc>
        <w:tc>
          <w:tcPr>
            <w:tcW w:w="9255" w:type="dxa"/>
            <w:gridSpan w:val="2"/>
            <w:vAlign w:val="center"/>
          </w:tcPr>
          <w:p w:rsidR="001611A8" w:rsidRDefault="00E77D31">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1611A8">
        <w:trPr>
          <w:trHeight w:val="411"/>
          <w:jc w:val="center"/>
        </w:trPr>
        <w:tc>
          <w:tcPr>
            <w:tcW w:w="705" w:type="dxa"/>
            <w:vAlign w:val="center"/>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1611A8">
        <w:trPr>
          <w:trHeight w:val="1119"/>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rsidR="001611A8" w:rsidRPr="006023D6" w:rsidRDefault="00E77D31">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sidRPr="006023D6">
              <w:rPr>
                <w:rFonts w:ascii="Times New Roman" w:eastAsia="Times New Roman" w:hAnsi="Times New Roman" w:cs="Times New Roman"/>
                <w:color w:val="000000"/>
                <w:sz w:val="24"/>
                <w:szCs w:val="24"/>
              </w:rPr>
              <w:t xml:space="preserve">«Про публічні закупівлі» (далі </w:t>
            </w:r>
            <w:r w:rsidRPr="006023D6">
              <w:rPr>
                <w:rFonts w:ascii="Times New Roman" w:eastAsia="Times New Roman" w:hAnsi="Times New Roman" w:cs="Times New Roman"/>
                <w:sz w:val="24"/>
                <w:szCs w:val="24"/>
              </w:rPr>
              <w:t>—</w:t>
            </w:r>
            <w:r w:rsidRPr="006023D6">
              <w:rPr>
                <w:rFonts w:ascii="Times New Roman" w:eastAsia="Times New Roman" w:hAnsi="Times New Roman" w:cs="Times New Roman"/>
                <w:color w:val="000000"/>
                <w:sz w:val="24"/>
                <w:szCs w:val="24"/>
              </w:rPr>
              <w:t xml:space="preserve"> Закон)</w:t>
            </w:r>
            <w:r w:rsidRPr="006023D6">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rsidR="001611A8" w:rsidRDefault="00E77D31">
            <w:pPr>
              <w:jc w:val="both"/>
              <w:rPr>
                <w:rFonts w:ascii="Times New Roman" w:eastAsia="Times New Roman" w:hAnsi="Times New Roman" w:cs="Times New Roman"/>
                <w:sz w:val="24"/>
                <w:szCs w:val="24"/>
              </w:rPr>
            </w:pPr>
            <w:r w:rsidRPr="006023D6">
              <w:rPr>
                <w:rFonts w:ascii="Times New Roman" w:eastAsia="Times New Roman" w:hAnsi="Times New Roman" w:cs="Times New Roman"/>
                <w:color w:val="000000"/>
                <w:sz w:val="24"/>
                <w:szCs w:val="24"/>
              </w:rPr>
              <w:t xml:space="preserve"> Терміни, які використовуються в цій документації</w:t>
            </w:r>
            <w:r>
              <w:rPr>
                <w:rFonts w:ascii="Times New Roman" w:eastAsia="Times New Roman" w:hAnsi="Times New Roman" w:cs="Times New Roman"/>
                <w:color w:val="000000"/>
                <w:sz w:val="24"/>
                <w:szCs w:val="24"/>
              </w:rPr>
              <w:t xml:space="preserve">, вживаються у значенні, наведеному в Законі та </w:t>
            </w:r>
            <w:r>
              <w:rPr>
                <w:rFonts w:ascii="Times New Roman" w:eastAsia="Times New Roman" w:hAnsi="Times New Roman" w:cs="Times New Roman"/>
                <w:sz w:val="24"/>
                <w:szCs w:val="24"/>
              </w:rPr>
              <w:t>Особливостях.</w:t>
            </w:r>
          </w:p>
        </w:tc>
      </w:tr>
      <w:tr w:rsidR="001611A8">
        <w:trPr>
          <w:trHeight w:val="615"/>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rsidR="001611A8" w:rsidRDefault="00E77D31">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1611A8">
        <w:trPr>
          <w:trHeight w:val="285"/>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rsidR="006023D6" w:rsidRPr="001B6A4C" w:rsidRDefault="00F279E5" w:rsidP="006023D6">
            <w:pPr>
              <w:pStyle w:val="af2"/>
            </w:pPr>
            <w:r>
              <w:t>Локницька сільська рада</w:t>
            </w:r>
          </w:p>
          <w:p w:rsidR="001611A8" w:rsidRDefault="001611A8">
            <w:pPr>
              <w:jc w:val="both"/>
              <w:rPr>
                <w:rFonts w:ascii="Times New Roman" w:eastAsia="Times New Roman" w:hAnsi="Times New Roman" w:cs="Times New Roman"/>
                <w:i/>
                <w:sz w:val="24"/>
                <w:szCs w:val="24"/>
              </w:rPr>
            </w:pPr>
          </w:p>
        </w:tc>
      </w:tr>
      <w:tr w:rsidR="001611A8">
        <w:trPr>
          <w:trHeight w:val="536"/>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rsidR="001611A8" w:rsidRDefault="00F279E5">
            <w:pPr>
              <w:jc w:val="both"/>
              <w:rPr>
                <w:rFonts w:ascii="Times New Roman" w:eastAsia="Times New Roman" w:hAnsi="Times New Roman" w:cs="Times New Roman"/>
                <w:sz w:val="24"/>
                <w:szCs w:val="24"/>
                <w:highlight w:val="cyan"/>
              </w:rPr>
            </w:pPr>
            <w:r>
              <w:rPr>
                <w:rFonts w:ascii="Times New Roman" w:hAnsi="Times New Roman"/>
                <w:b/>
                <w:bCs/>
              </w:rPr>
              <w:t>34030,  с. Локниця</w:t>
            </w:r>
            <w:r w:rsidR="006023D6" w:rsidRPr="00097F39">
              <w:rPr>
                <w:rFonts w:ascii="Times New Roman" w:hAnsi="Times New Roman"/>
                <w:b/>
                <w:bCs/>
              </w:rPr>
              <w:t xml:space="preserve">, </w:t>
            </w:r>
            <w:r>
              <w:rPr>
                <w:rFonts w:ascii="Times New Roman" w:hAnsi="Times New Roman"/>
                <w:b/>
                <w:bCs/>
              </w:rPr>
              <w:t>вул. Центральна 55, Вараський район, Рівнен</w:t>
            </w:r>
            <w:r w:rsidR="006023D6">
              <w:rPr>
                <w:rFonts w:ascii="Times New Roman" w:hAnsi="Times New Roman"/>
                <w:b/>
                <w:bCs/>
              </w:rPr>
              <w:t>ська область.</w:t>
            </w:r>
          </w:p>
        </w:tc>
      </w:tr>
      <w:tr w:rsidR="001611A8">
        <w:trPr>
          <w:trHeight w:val="1119"/>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rsidR="001611A8" w:rsidRPr="00F279E5" w:rsidRDefault="006023D6" w:rsidP="00F279E5">
            <w:pPr>
              <w:jc w:val="both"/>
              <w:rPr>
                <w:rFonts w:ascii="Times New Roman" w:eastAsia="Times New Roman" w:hAnsi="Times New Roman" w:cs="Times New Roman"/>
                <w:i/>
                <w:color w:val="FF0000"/>
                <w:sz w:val="24"/>
                <w:szCs w:val="24"/>
                <w:highlight w:val="yellow"/>
                <w:lang w:val="ru-RU"/>
              </w:rPr>
            </w:pPr>
            <w:r w:rsidRPr="00097F39">
              <w:rPr>
                <w:rFonts w:ascii="Times New Roman" w:hAnsi="Times New Roman"/>
                <w:b/>
                <w:bCs/>
                <w:u w:val="single"/>
              </w:rPr>
              <w:t>з питань проведення процедури закупівлі</w:t>
            </w:r>
            <w:r w:rsidRPr="00097F39">
              <w:rPr>
                <w:rFonts w:ascii="Times New Roman" w:hAnsi="Times New Roman"/>
              </w:rPr>
              <w:t xml:space="preserve"> – </w:t>
            </w:r>
            <w:r w:rsidR="00F279E5">
              <w:rPr>
                <w:rFonts w:ascii="Times New Roman" w:hAnsi="Times New Roman"/>
              </w:rPr>
              <w:t>Швайко Олена Олександрівна</w:t>
            </w:r>
            <w:r w:rsidRPr="00097F39">
              <w:rPr>
                <w:rFonts w:ascii="Times New Roman" w:hAnsi="Times New Roman"/>
              </w:rPr>
              <w:t xml:space="preserve">  - </w:t>
            </w:r>
            <w:r w:rsidR="00F279E5">
              <w:rPr>
                <w:rFonts w:ascii="Times New Roman" w:hAnsi="Times New Roman"/>
              </w:rPr>
              <w:t>заступник сільського голови  тел. 0667329077</w:t>
            </w:r>
            <w:r w:rsidRPr="00097F39">
              <w:rPr>
                <w:rFonts w:ascii="Times New Roman" w:hAnsi="Times New Roman"/>
              </w:rPr>
              <w:t xml:space="preserve">; </w:t>
            </w:r>
            <w:r w:rsidRPr="00097F39">
              <w:rPr>
                <w:rFonts w:ascii="Times New Roman" w:hAnsi="Times New Roman"/>
                <w:lang w:val="en-US"/>
              </w:rPr>
              <w:t>e</w:t>
            </w:r>
            <w:r w:rsidRPr="00097F39">
              <w:rPr>
                <w:rFonts w:ascii="Times New Roman" w:hAnsi="Times New Roman"/>
              </w:rPr>
              <w:t>-</w:t>
            </w:r>
            <w:r w:rsidRPr="00097F39">
              <w:rPr>
                <w:rFonts w:ascii="Times New Roman" w:hAnsi="Times New Roman"/>
                <w:lang w:val="en-US"/>
              </w:rPr>
              <w:t>mail</w:t>
            </w:r>
            <w:r w:rsidRPr="00097F39">
              <w:rPr>
                <w:rFonts w:ascii="Times New Roman" w:hAnsi="Times New Roman"/>
              </w:rPr>
              <w:t xml:space="preserve">: </w:t>
            </w:r>
            <w:r w:rsidR="00F279E5">
              <w:rPr>
                <w:rFonts w:ascii="Times New Roman" w:hAnsi="Times New Roman"/>
                <w:lang w:val="en-US"/>
              </w:rPr>
              <w:t>loknizasrada</w:t>
            </w:r>
            <w:r w:rsidR="00F279E5" w:rsidRPr="00F279E5">
              <w:rPr>
                <w:rFonts w:ascii="Times New Roman" w:hAnsi="Times New Roman"/>
                <w:lang w:val="ru-RU"/>
              </w:rPr>
              <w:t>@</w:t>
            </w:r>
            <w:r w:rsidR="00F279E5">
              <w:rPr>
                <w:rFonts w:ascii="Times New Roman" w:hAnsi="Times New Roman"/>
                <w:lang w:val="en-US"/>
              </w:rPr>
              <w:t>ukr</w:t>
            </w:r>
            <w:r w:rsidR="00F279E5" w:rsidRPr="00F279E5">
              <w:rPr>
                <w:rFonts w:ascii="Times New Roman" w:hAnsi="Times New Roman"/>
                <w:lang w:val="ru-RU"/>
              </w:rPr>
              <w:t>.</w:t>
            </w:r>
            <w:r w:rsidR="00F279E5">
              <w:rPr>
                <w:rFonts w:ascii="Times New Roman" w:hAnsi="Times New Roman"/>
                <w:lang w:val="en-US"/>
              </w:rPr>
              <w:t>net</w:t>
            </w:r>
          </w:p>
        </w:tc>
      </w:tr>
      <w:tr w:rsidR="001611A8">
        <w:trPr>
          <w:trHeight w:val="15"/>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rsidR="001611A8" w:rsidRDefault="00E77D31">
            <w:pPr>
              <w:jc w:val="both"/>
              <w:rPr>
                <w:rFonts w:ascii="Times New Roman" w:eastAsia="Times New Roman" w:hAnsi="Times New Roman" w:cs="Times New Roman"/>
                <w:color w:val="4A86E8"/>
                <w:sz w:val="24"/>
                <w:szCs w:val="24"/>
              </w:rPr>
            </w:pPr>
            <w:r>
              <w:rPr>
                <w:rFonts w:ascii="Times New Roman" w:eastAsia="Times New Roman" w:hAnsi="Times New Roman" w:cs="Times New Roman"/>
                <w:color w:val="000000"/>
                <w:sz w:val="24"/>
                <w:szCs w:val="24"/>
              </w:rPr>
              <w:t xml:space="preserve">відкриті торги </w:t>
            </w:r>
            <w:r w:rsidRPr="006023D6">
              <w:rPr>
                <w:rFonts w:ascii="Times New Roman" w:eastAsia="Times New Roman" w:hAnsi="Times New Roman" w:cs="Times New Roman"/>
                <w:color w:val="000000" w:themeColor="text1"/>
                <w:sz w:val="24"/>
                <w:szCs w:val="24"/>
              </w:rPr>
              <w:t>з особливостями</w:t>
            </w:r>
          </w:p>
        </w:tc>
      </w:tr>
      <w:tr w:rsidR="001611A8">
        <w:trPr>
          <w:trHeight w:val="240"/>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rsidR="001611A8" w:rsidRDefault="00E77D31">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1611A8">
        <w:trPr>
          <w:jc w:val="center"/>
        </w:trPr>
        <w:tc>
          <w:tcPr>
            <w:tcW w:w="705" w:type="dxa"/>
          </w:tcPr>
          <w:p w:rsidR="001611A8" w:rsidRDefault="00E77D31">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rsidR="001611A8" w:rsidRDefault="00E77D31">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rsidR="004B0C88" w:rsidRPr="004B0C88" w:rsidRDefault="004B0C88" w:rsidP="004B0C88">
            <w:pPr>
              <w:shd w:val="clear" w:color="auto" w:fill="FFFFFF"/>
              <w:contextualSpacing/>
              <w:rPr>
                <w:rFonts w:ascii="Times New Roman" w:hAnsi="Times New Roman" w:cs="Times New Roman"/>
                <w:b/>
                <w:color w:val="000000"/>
                <w:sz w:val="24"/>
                <w:szCs w:val="24"/>
                <w:shd w:val="clear" w:color="auto" w:fill="FFFFFF"/>
              </w:rPr>
            </w:pPr>
            <w:r w:rsidRPr="004B0C88">
              <w:rPr>
                <w:rFonts w:ascii="Times New Roman" w:hAnsi="Times New Roman" w:cs="Times New Roman"/>
                <w:b/>
                <w:color w:val="000000"/>
                <w:sz w:val="24"/>
                <w:szCs w:val="24"/>
                <w:shd w:val="clear" w:color="auto" w:fill="FFFFFF"/>
              </w:rPr>
              <w:t xml:space="preserve">Код ДК 021:2015: 09130000-9 - </w:t>
            </w:r>
            <w:r w:rsidRPr="004B0C88">
              <w:rPr>
                <w:rFonts w:ascii="Times New Roman" w:hAnsi="Times New Roman" w:cs="Times New Roman"/>
                <w:b/>
                <w:bCs/>
                <w:color w:val="000000"/>
                <w:sz w:val="24"/>
                <w:szCs w:val="24"/>
              </w:rPr>
              <w:t>Нафта і дистиляти</w:t>
            </w:r>
            <w:r w:rsidRPr="004B0C88">
              <w:rPr>
                <w:rFonts w:ascii="Times New Roman" w:hAnsi="Times New Roman" w:cs="Times New Roman"/>
                <w:b/>
                <w:color w:val="000000"/>
                <w:sz w:val="24"/>
                <w:szCs w:val="24"/>
                <w:shd w:val="clear" w:color="auto" w:fill="FFFFFF"/>
              </w:rPr>
              <w:t xml:space="preserve"> </w:t>
            </w:r>
          </w:p>
          <w:p w:rsidR="001611A8" w:rsidRDefault="004B0C88" w:rsidP="004B0C88">
            <w:pPr>
              <w:jc w:val="both"/>
              <w:rPr>
                <w:rFonts w:ascii="Times New Roman" w:eastAsia="Times New Roman" w:hAnsi="Times New Roman" w:cs="Times New Roman"/>
                <w:i/>
                <w:sz w:val="24"/>
                <w:szCs w:val="24"/>
              </w:rPr>
            </w:pPr>
            <w:r w:rsidRPr="004B0C88">
              <w:rPr>
                <w:rFonts w:ascii="Times New Roman" w:hAnsi="Times New Roman" w:cs="Times New Roman"/>
                <w:b/>
                <w:color w:val="000000"/>
                <w:sz w:val="24"/>
                <w:szCs w:val="24"/>
                <w:shd w:val="clear" w:color="auto" w:fill="FFFFFF"/>
              </w:rPr>
              <w:t>(</w:t>
            </w:r>
            <w:r w:rsidRPr="004B0C88">
              <w:rPr>
                <w:rFonts w:ascii="Times New Roman" w:hAnsi="Times New Roman" w:cs="Times New Roman"/>
                <w:b/>
                <w:bCs/>
                <w:color w:val="000000"/>
                <w:sz w:val="24"/>
                <w:szCs w:val="24"/>
                <w:u w:val="single"/>
              </w:rPr>
              <w:t>Бензин А – 95</w:t>
            </w:r>
            <w:r w:rsidRPr="004B0C88">
              <w:rPr>
                <w:rFonts w:ascii="Times New Roman" w:hAnsi="Times New Roman" w:cs="Times New Roman"/>
                <w:b/>
                <w:bCs/>
                <w:color w:val="000000"/>
                <w:sz w:val="24"/>
                <w:szCs w:val="24"/>
              </w:rPr>
              <w:t xml:space="preserve"> (09132000-3 Бензин), </w:t>
            </w:r>
            <w:r w:rsidRPr="004B0C88">
              <w:rPr>
                <w:rFonts w:ascii="Times New Roman" w:hAnsi="Times New Roman" w:cs="Times New Roman"/>
                <w:b/>
                <w:bCs/>
                <w:color w:val="000000"/>
                <w:sz w:val="24"/>
                <w:szCs w:val="24"/>
                <w:u w:val="single"/>
              </w:rPr>
              <w:t>Дизельне паливо</w:t>
            </w:r>
            <w:r w:rsidRPr="004B0C88">
              <w:rPr>
                <w:rFonts w:ascii="Times New Roman" w:hAnsi="Times New Roman" w:cs="Times New Roman"/>
                <w:b/>
                <w:bCs/>
                <w:color w:val="000000"/>
                <w:sz w:val="24"/>
                <w:szCs w:val="24"/>
              </w:rPr>
              <w:t xml:space="preserve"> (09134200-9 Дизельне паливо)</w:t>
            </w:r>
            <w:r>
              <w:rPr>
                <w:rFonts w:ascii="Times New Roman" w:hAnsi="Times New Roman" w:cs="Times New Roman"/>
                <w:b/>
                <w:bCs/>
                <w:color w:val="000000"/>
                <w:sz w:val="24"/>
                <w:szCs w:val="24"/>
              </w:rPr>
              <w:t>.</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rsidR="001611A8" w:rsidRDefault="00E77D31">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rsidR="001611A8" w:rsidRDefault="00E77D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rsidR="001611A8" w:rsidRDefault="001611A8" w:rsidP="004B0C88">
            <w:pPr>
              <w:widowControl w:val="0"/>
              <w:ind w:right="120"/>
              <w:jc w:val="both"/>
              <w:rPr>
                <w:rFonts w:ascii="Times New Roman" w:eastAsia="Times New Roman" w:hAnsi="Times New Roman" w:cs="Times New Roman"/>
                <w:i/>
                <w:color w:val="FF0000"/>
                <w:sz w:val="24"/>
                <w:szCs w:val="24"/>
                <w:highlight w:val="yellow"/>
              </w:rPr>
            </w:pP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rsidR="004B0C88" w:rsidRDefault="00E77D31" w:rsidP="004B0C88">
            <w:pPr>
              <w:widowControl w:val="0"/>
              <w:rPr>
                <w:rFonts w:ascii="Times New Roman" w:eastAsia="Times New Roman" w:hAnsi="Times New Roman" w:cs="Times New Roman"/>
                <w:color w:val="000000"/>
                <w:sz w:val="24"/>
                <w:szCs w:val="24"/>
              </w:rPr>
            </w:pPr>
            <w:r w:rsidRPr="004B0C88">
              <w:rPr>
                <w:rFonts w:ascii="Times New Roman" w:eastAsia="Times New Roman" w:hAnsi="Times New Roman" w:cs="Times New Roman"/>
                <w:color w:val="000000"/>
                <w:sz w:val="24"/>
                <w:szCs w:val="24"/>
              </w:rPr>
              <w:t xml:space="preserve">кількість товару та місце його поставки </w:t>
            </w:r>
          </w:p>
          <w:p w:rsidR="001611A8" w:rsidRDefault="001611A8">
            <w:pPr>
              <w:widowControl w:val="0"/>
              <w:rPr>
                <w:rFonts w:ascii="Times New Roman" w:eastAsia="Times New Roman" w:hAnsi="Times New Roman" w:cs="Times New Roman"/>
                <w:color w:val="000000"/>
                <w:sz w:val="24"/>
                <w:szCs w:val="24"/>
                <w:highlight w:val="yellow"/>
              </w:rPr>
            </w:pPr>
          </w:p>
        </w:tc>
        <w:tc>
          <w:tcPr>
            <w:tcW w:w="6420" w:type="dxa"/>
          </w:tcPr>
          <w:p w:rsidR="00DA2260" w:rsidRPr="00DA2260" w:rsidRDefault="004B0C88" w:rsidP="00DA2260">
            <w:pPr>
              <w:pStyle w:val="af1"/>
              <w:jc w:val="both"/>
              <w:rPr>
                <w:rFonts w:ascii="Times New Roman" w:hAnsi="Times New Roman" w:cs="Times New Roman"/>
                <w:b/>
                <w:bCs/>
                <w:sz w:val="24"/>
                <w:szCs w:val="24"/>
              </w:rPr>
            </w:pPr>
            <w:r w:rsidRPr="00DA2260">
              <w:rPr>
                <w:rFonts w:ascii="Times New Roman" w:hAnsi="Times New Roman" w:cs="Times New Roman"/>
                <w:b/>
                <w:bCs/>
                <w:color w:val="000000"/>
                <w:sz w:val="24"/>
                <w:szCs w:val="24"/>
              </w:rPr>
              <w:t xml:space="preserve">Місце поставки товару: </w:t>
            </w:r>
            <w:r w:rsidR="00F279E5">
              <w:rPr>
                <w:rFonts w:ascii="Times New Roman" w:hAnsi="Times New Roman"/>
                <w:b/>
                <w:bCs/>
              </w:rPr>
              <w:t>34030,  с. Локниця</w:t>
            </w:r>
            <w:r w:rsidR="00F279E5" w:rsidRPr="00097F39">
              <w:rPr>
                <w:rFonts w:ascii="Times New Roman" w:hAnsi="Times New Roman"/>
                <w:b/>
                <w:bCs/>
              </w:rPr>
              <w:t xml:space="preserve">, </w:t>
            </w:r>
            <w:r w:rsidR="00F279E5">
              <w:rPr>
                <w:rFonts w:ascii="Times New Roman" w:hAnsi="Times New Roman"/>
                <w:b/>
                <w:bCs/>
              </w:rPr>
              <w:t>вул. Центральна 55, Вараський район, Рівненська область.</w:t>
            </w:r>
            <w:r w:rsidR="00F279E5">
              <w:rPr>
                <w:rFonts w:ascii="Times New Roman" w:hAnsi="Times New Roman" w:cs="Times New Roman"/>
                <w:b/>
                <w:bCs/>
                <w:sz w:val="24"/>
                <w:szCs w:val="24"/>
              </w:rPr>
              <w:t xml:space="preserve"> (Локницька сільська рада</w:t>
            </w:r>
            <w:r w:rsidRPr="00DA2260">
              <w:rPr>
                <w:rFonts w:ascii="Times New Roman" w:hAnsi="Times New Roman" w:cs="Times New Roman"/>
                <w:b/>
                <w:bCs/>
                <w:sz w:val="24"/>
                <w:szCs w:val="24"/>
              </w:rPr>
              <w:t>) (талони)</w:t>
            </w:r>
            <w:r w:rsidR="00DA2260">
              <w:rPr>
                <w:rFonts w:ascii="Times New Roman" w:hAnsi="Times New Roman" w:cs="Times New Roman"/>
                <w:b/>
                <w:bCs/>
                <w:sz w:val="24"/>
                <w:szCs w:val="24"/>
              </w:rPr>
              <w:t>.</w:t>
            </w:r>
            <w:r w:rsidR="00DA2260" w:rsidRPr="00DA2260">
              <w:rPr>
                <w:rFonts w:ascii="Times New Roman" w:hAnsi="Times New Roman" w:cs="Times New Roman"/>
                <w:b/>
                <w:bCs/>
                <w:sz w:val="24"/>
                <w:szCs w:val="24"/>
              </w:rPr>
              <w:t xml:space="preserve"> </w:t>
            </w:r>
          </w:p>
          <w:p w:rsidR="00DA2260" w:rsidRDefault="00DA2260" w:rsidP="00DA2260">
            <w:pPr>
              <w:pStyle w:val="af1"/>
              <w:jc w:val="both"/>
              <w:rPr>
                <w:b/>
                <w:bCs/>
              </w:rPr>
            </w:pPr>
          </w:p>
          <w:p w:rsidR="00DA2260" w:rsidRPr="007175BB" w:rsidRDefault="00DA2260" w:rsidP="00DA2260">
            <w:pPr>
              <w:pStyle w:val="af1"/>
              <w:jc w:val="both"/>
              <w:rPr>
                <w:rFonts w:ascii="Times New Roman" w:hAnsi="Times New Roman" w:cs="Times New Roman"/>
                <w:b/>
                <w:color w:val="000000"/>
                <w:sz w:val="24"/>
                <w:szCs w:val="24"/>
              </w:rPr>
            </w:pPr>
            <w:r w:rsidRPr="007175BB">
              <w:rPr>
                <w:rFonts w:ascii="Times New Roman" w:hAnsi="Times New Roman" w:cs="Times New Roman"/>
                <w:b/>
                <w:color w:val="000000"/>
                <w:sz w:val="24"/>
                <w:szCs w:val="24"/>
              </w:rPr>
              <w:t>Відстань від місця роз</w:t>
            </w:r>
            <w:r w:rsidR="00F279E5">
              <w:rPr>
                <w:rFonts w:ascii="Times New Roman" w:hAnsi="Times New Roman" w:cs="Times New Roman"/>
                <w:b/>
                <w:color w:val="000000"/>
                <w:sz w:val="24"/>
                <w:szCs w:val="24"/>
              </w:rPr>
              <w:t>ташування Замовника (с. Локниця</w:t>
            </w:r>
            <w:r w:rsidRPr="007175BB">
              <w:rPr>
                <w:rFonts w:ascii="Times New Roman" w:hAnsi="Times New Roman" w:cs="Times New Roman"/>
                <w:b/>
                <w:color w:val="000000"/>
                <w:sz w:val="24"/>
                <w:szCs w:val="24"/>
              </w:rPr>
              <w:t>) до найближчої АЗС Уча</w:t>
            </w:r>
            <w:r w:rsidR="00F279E5">
              <w:rPr>
                <w:rFonts w:ascii="Times New Roman" w:hAnsi="Times New Roman" w:cs="Times New Roman"/>
                <w:b/>
                <w:color w:val="000000"/>
                <w:sz w:val="24"/>
                <w:szCs w:val="24"/>
              </w:rPr>
              <w:t>сника не повинна перевищувати 35</w:t>
            </w:r>
            <w:r w:rsidRPr="007175BB">
              <w:rPr>
                <w:rFonts w:ascii="Times New Roman" w:hAnsi="Times New Roman" w:cs="Times New Roman"/>
                <w:b/>
                <w:color w:val="000000"/>
                <w:sz w:val="24"/>
                <w:szCs w:val="24"/>
              </w:rPr>
              <w:t xml:space="preserve"> км.</w:t>
            </w:r>
          </w:p>
          <w:p w:rsidR="004B0C88" w:rsidRPr="004B0C88" w:rsidRDefault="004B0C88" w:rsidP="004B0C88">
            <w:pPr>
              <w:pStyle w:val="a9"/>
              <w:snapToGrid w:val="0"/>
              <w:spacing w:before="0" w:after="0"/>
              <w:contextualSpacing/>
              <w:jc w:val="both"/>
            </w:pPr>
            <w:r w:rsidRPr="004B0C88">
              <w:rPr>
                <w:b/>
                <w:bCs/>
                <w:color w:val="000000"/>
              </w:rPr>
              <w:t xml:space="preserve">Кількість: </w:t>
            </w:r>
          </w:p>
          <w:p w:rsidR="004B0C88" w:rsidRPr="004B0C88" w:rsidRDefault="004B0C88" w:rsidP="004B0C88">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Arial Unicode MS" w:hAnsi="Times New Roman" w:cs="Times New Roman"/>
                <w:sz w:val="24"/>
                <w:szCs w:val="24"/>
              </w:rPr>
            </w:pPr>
            <w:r w:rsidRPr="004B0C88">
              <w:rPr>
                <w:rFonts w:ascii="Times New Roman" w:eastAsia="Arial Unicode MS" w:hAnsi="Times New Roman" w:cs="Times New Roman"/>
                <w:sz w:val="24"/>
                <w:szCs w:val="24"/>
              </w:rPr>
              <w:t>-  Бензин А-95</w:t>
            </w:r>
            <w:r>
              <w:rPr>
                <w:rFonts w:ascii="Times New Roman" w:hAnsi="Times New Roman" w:cs="Times New Roman"/>
                <w:bCs/>
                <w:sz w:val="24"/>
                <w:szCs w:val="24"/>
                <w:lang w:eastAsia="uk-UA"/>
              </w:rPr>
              <w:t xml:space="preserve"> </w:t>
            </w:r>
            <w:r w:rsidRPr="004B0C88">
              <w:rPr>
                <w:rFonts w:ascii="Times New Roman" w:hAnsi="Times New Roman" w:cs="Times New Roman"/>
                <w:bCs/>
                <w:sz w:val="24"/>
                <w:szCs w:val="24"/>
                <w:lang w:eastAsia="uk-UA"/>
              </w:rPr>
              <w:t>–</w:t>
            </w:r>
            <w:r w:rsidR="00F279E5">
              <w:rPr>
                <w:rFonts w:ascii="Times New Roman" w:eastAsia="Arial Unicode MS" w:hAnsi="Times New Roman" w:cs="Times New Roman"/>
                <w:sz w:val="24"/>
                <w:szCs w:val="24"/>
              </w:rPr>
              <w:t xml:space="preserve"> 960</w:t>
            </w:r>
            <w:r w:rsidRPr="004B0C88">
              <w:rPr>
                <w:rFonts w:ascii="Times New Roman" w:eastAsia="Arial Unicode MS" w:hAnsi="Times New Roman" w:cs="Times New Roman"/>
                <w:sz w:val="24"/>
                <w:szCs w:val="24"/>
              </w:rPr>
              <w:t xml:space="preserve"> літрів;</w:t>
            </w:r>
          </w:p>
          <w:p w:rsidR="004B0C88" w:rsidRPr="004B0C88" w:rsidRDefault="004B0C88" w:rsidP="004B0C88">
            <w:pPr>
              <w:tabs>
                <w:tab w:val="left" w:pos="916"/>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Дизельне паливо</w:t>
            </w:r>
            <w:r w:rsidRPr="004B0C88">
              <w:rPr>
                <w:rFonts w:ascii="Times New Roman" w:hAnsi="Times New Roman" w:cs="Times New Roman"/>
                <w:bCs/>
                <w:sz w:val="24"/>
                <w:szCs w:val="24"/>
                <w:lang w:eastAsia="uk-UA"/>
              </w:rPr>
              <w:t xml:space="preserve"> </w:t>
            </w:r>
            <w:r w:rsidR="00F279E5">
              <w:rPr>
                <w:rFonts w:ascii="Times New Roman" w:eastAsia="Arial Unicode MS" w:hAnsi="Times New Roman" w:cs="Times New Roman"/>
                <w:sz w:val="24"/>
                <w:szCs w:val="24"/>
              </w:rPr>
              <w:t xml:space="preserve">– 2050 </w:t>
            </w:r>
            <w:r w:rsidRPr="004B0C88">
              <w:rPr>
                <w:rFonts w:ascii="Times New Roman" w:eastAsia="Arial Unicode MS" w:hAnsi="Times New Roman" w:cs="Times New Roman"/>
                <w:sz w:val="24"/>
                <w:szCs w:val="24"/>
              </w:rPr>
              <w:t xml:space="preserve">літрів. </w:t>
            </w:r>
          </w:p>
          <w:p w:rsidR="001611A8" w:rsidRPr="00ED6FE4" w:rsidRDefault="004B0C88" w:rsidP="004B0C88">
            <w:pPr>
              <w:widowControl w:val="0"/>
              <w:ind w:right="120"/>
              <w:jc w:val="both"/>
              <w:rPr>
                <w:rFonts w:ascii="Times New Roman" w:eastAsia="Times New Roman" w:hAnsi="Times New Roman" w:cs="Times New Roman"/>
                <w:i/>
                <w:color w:val="4A86E8"/>
                <w:sz w:val="24"/>
                <w:szCs w:val="24"/>
                <w:highlight w:val="white"/>
                <w:u w:val="single"/>
              </w:rPr>
            </w:pPr>
            <w:r w:rsidRPr="00ED6FE4">
              <w:rPr>
                <w:rFonts w:ascii="Times New Roman" w:hAnsi="Times New Roman" w:cs="Times New Roman"/>
                <w:b/>
                <w:color w:val="0E1D2F"/>
                <w:sz w:val="24"/>
                <w:szCs w:val="24"/>
                <w:u w:val="single"/>
                <w:shd w:val="clear" w:color="auto" w:fill="FFFFFF"/>
              </w:rPr>
              <w:lastRenderedPageBreak/>
              <w:t>Неприймаються до розгляду тендерні пропозиції, ціна яких є вищою ніж очікувана вартість предмета закупівлі, визначена замовником в оголошенні про проведення відкритих торгів.</w:t>
            </w:r>
          </w:p>
        </w:tc>
      </w:tr>
      <w:tr w:rsidR="001611A8">
        <w:trPr>
          <w:trHeight w:val="645"/>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4.4</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строки поставки товарів, виконання робіт, надання послуг</w:t>
            </w:r>
          </w:p>
        </w:tc>
        <w:tc>
          <w:tcPr>
            <w:tcW w:w="6420" w:type="dxa"/>
          </w:tcPr>
          <w:p w:rsidR="001611A8" w:rsidRPr="00ED6FE4" w:rsidRDefault="00E77D31" w:rsidP="00ED6FE4">
            <w:pPr>
              <w:widowControl w:val="0"/>
              <w:rPr>
                <w:rFonts w:ascii="Times New Roman" w:eastAsia="Times New Roman" w:hAnsi="Times New Roman" w:cs="Times New Roman"/>
                <w:b/>
                <w:color w:val="000000" w:themeColor="text1"/>
                <w:sz w:val="24"/>
                <w:szCs w:val="24"/>
                <w:highlight w:val="cyan"/>
              </w:rPr>
            </w:pPr>
            <w:r w:rsidRPr="00ED6FE4">
              <w:rPr>
                <w:rFonts w:ascii="Times New Roman" w:eastAsia="Times New Roman" w:hAnsi="Times New Roman" w:cs="Times New Roman"/>
                <w:b/>
                <w:color w:val="000000" w:themeColor="text1"/>
                <w:sz w:val="24"/>
                <w:szCs w:val="24"/>
              </w:rPr>
              <w:t>до </w:t>
            </w:r>
            <w:r w:rsidR="00ED6FE4" w:rsidRPr="00ED6FE4">
              <w:rPr>
                <w:rFonts w:ascii="Times New Roman" w:eastAsia="Times New Roman" w:hAnsi="Times New Roman" w:cs="Times New Roman"/>
                <w:b/>
                <w:color w:val="000000" w:themeColor="text1"/>
                <w:sz w:val="24"/>
                <w:szCs w:val="24"/>
              </w:rPr>
              <w:t xml:space="preserve"> 31 травня</w:t>
            </w:r>
            <w:r w:rsidRPr="00ED6FE4">
              <w:rPr>
                <w:rFonts w:ascii="Times New Roman" w:eastAsia="Times New Roman" w:hAnsi="Times New Roman" w:cs="Times New Roman"/>
                <w:b/>
                <w:color w:val="000000" w:themeColor="text1"/>
                <w:sz w:val="24"/>
                <w:szCs w:val="24"/>
              </w:rPr>
              <w:t xml:space="preserve"> </w:t>
            </w:r>
            <w:r w:rsidR="00ED6FE4" w:rsidRPr="00ED6FE4">
              <w:rPr>
                <w:rFonts w:ascii="Times New Roman" w:eastAsia="Times New Roman" w:hAnsi="Times New Roman" w:cs="Times New Roman"/>
                <w:b/>
                <w:color w:val="000000" w:themeColor="text1"/>
                <w:sz w:val="24"/>
                <w:szCs w:val="24"/>
              </w:rPr>
              <w:t xml:space="preserve"> 2023</w:t>
            </w:r>
            <w:r w:rsidRPr="00ED6FE4">
              <w:rPr>
                <w:rFonts w:ascii="Times New Roman" w:eastAsia="Times New Roman" w:hAnsi="Times New Roman" w:cs="Times New Roman"/>
                <w:b/>
                <w:color w:val="000000" w:themeColor="text1"/>
                <w:sz w:val="24"/>
                <w:szCs w:val="24"/>
              </w:rPr>
              <w:t xml:space="preserve"> року включно</w:t>
            </w:r>
            <w:r w:rsidR="00ED6FE4">
              <w:rPr>
                <w:rFonts w:ascii="Times New Roman" w:eastAsia="Times New Roman" w:hAnsi="Times New Roman" w:cs="Times New Roman"/>
                <w:b/>
                <w:color w:val="000000" w:themeColor="text1"/>
                <w:sz w:val="24"/>
                <w:szCs w:val="24"/>
              </w:rPr>
              <w:t>.</w:t>
            </w:r>
          </w:p>
        </w:tc>
      </w:tr>
      <w:tr w:rsidR="001611A8">
        <w:trPr>
          <w:trHeight w:val="841"/>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p>
        </w:tc>
        <w:tc>
          <w:tcPr>
            <w:tcW w:w="6420" w:type="dxa"/>
          </w:tcPr>
          <w:p w:rsidR="001611A8" w:rsidRDefault="00E77D3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p>
        </w:tc>
        <w:tc>
          <w:tcPr>
            <w:tcW w:w="6420" w:type="dxa"/>
          </w:tcPr>
          <w:p w:rsidR="001611A8" w:rsidRDefault="00E77D31">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sidR="00ED6F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(знак</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rsidR="001611A8" w:rsidRDefault="00E77D31">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w:t>
            </w:r>
            <w:r>
              <w:rPr>
                <w:rFonts w:ascii="Times New Roman" w:eastAsia="Times New Roman" w:hAnsi="Times New Roman" w:cs="Times New Roman"/>
                <w:sz w:val="24"/>
                <w:szCs w:val="24"/>
              </w:rPr>
              <w:lastRenderedPageBreak/>
              <w:t>документ наданий іноземною мовою без перекладу.</w:t>
            </w:r>
          </w:p>
        </w:tc>
      </w:tr>
      <w:tr w:rsidR="001611A8">
        <w:trPr>
          <w:trHeight w:val="501"/>
          <w:jc w:val="center"/>
        </w:trPr>
        <w:tc>
          <w:tcPr>
            <w:tcW w:w="9960" w:type="dxa"/>
            <w:gridSpan w:val="3"/>
            <w:vAlign w:val="center"/>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1611A8">
        <w:trPr>
          <w:trHeight w:val="1975"/>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tcPr>
          <w:p w:rsidR="001611A8" w:rsidRDefault="00E77D3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rsidR="001611A8" w:rsidRDefault="00E77D31">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внести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sidR="00ED6FE4">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що вносяться. Зміни до тендерної документації у машинозчитувальному форматі розміщуються в електронній системі закупівель протягом одного дня з дати прийняття рішення про їх внесення.</w:t>
            </w:r>
          </w:p>
        </w:tc>
      </w:tr>
      <w:tr w:rsidR="001611A8">
        <w:trPr>
          <w:trHeight w:val="480"/>
          <w:jc w:val="center"/>
        </w:trPr>
        <w:tc>
          <w:tcPr>
            <w:tcW w:w="9960" w:type="dxa"/>
            <w:gridSpan w:val="3"/>
            <w:vAlign w:val="center"/>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1</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шляхом завантаження необхідних документів через електронну систему закупівель, що підтверджують відповідність вимогам, визначеним замовником:</w:t>
            </w:r>
          </w:p>
          <w:p w:rsidR="001611A8" w:rsidRDefault="00E77D3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rsidR="001611A8" w:rsidRDefault="00E77D3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w:t>
            </w:r>
            <w:r w:rsidRPr="00ED6FE4">
              <w:rPr>
                <w:rFonts w:ascii="Times New Roman" w:eastAsia="Times New Roman" w:hAnsi="Times New Roman" w:cs="Times New Roman"/>
                <w:color w:val="000000" w:themeColor="text1"/>
                <w:sz w:val="24"/>
                <w:szCs w:val="24"/>
              </w:rPr>
              <w:t>в пункті 44 Особливостей</w:t>
            </w:r>
            <w:r>
              <w:rPr>
                <w:rFonts w:ascii="Times New Roman" w:eastAsia="Times New Roman" w:hAnsi="Times New Roman" w:cs="Times New Roman"/>
                <w:sz w:val="24"/>
                <w:szCs w:val="24"/>
              </w:rPr>
              <w:t xml:space="preserve">,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тендерної документації;</w:t>
            </w:r>
          </w:p>
          <w:p w:rsidR="001611A8" w:rsidRDefault="00E77D3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rsidR="001611A8" w:rsidRDefault="00E77D31">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rsidR="001611A8" w:rsidRDefault="00E77D3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rsidR="001611A8" w:rsidRPr="00606F10" w:rsidRDefault="00E77D31">
            <w:pPr>
              <w:widowControl w:val="0"/>
              <w:jc w:val="both"/>
              <w:rPr>
                <w:rFonts w:ascii="Times New Roman" w:eastAsia="Times New Roman" w:hAnsi="Times New Roman" w:cs="Times New Roman"/>
                <w:b/>
                <w:sz w:val="24"/>
                <w:szCs w:val="24"/>
              </w:rPr>
            </w:pPr>
            <w:r w:rsidRPr="00606F1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rsidR="001611A8" w:rsidRDefault="00E77D3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w:t>
            </w:r>
            <w:r>
              <w:rPr>
                <w:rFonts w:ascii="Times New Roman" w:eastAsia="Times New Roman" w:hAnsi="Times New Roman" w:cs="Times New Roman"/>
                <w:sz w:val="24"/>
                <w:szCs w:val="24"/>
              </w:rPr>
              <w:lastRenderedPageBreak/>
              <w:t xml:space="preserve">впливають на зміст тендерної пропозиції, а саме технічні помилки та описки. </w:t>
            </w:r>
          </w:p>
          <w:p w:rsidR="001611A8" w:rsidRDefault="00E77D3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використання слова або мовного звороту, запозичених з іншої мови;</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 xml:space="preserve">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w:t>
            </w:r>
            <w:r>
              <w:rPr>
                <w:rFonts w:ascii="Times New Roman" w:eastAsia="Times New Roman" w:hAnsi="Times New Roman" w:cs="Times New Roman"/>
                <w:sz w:val="24"/>
                <w:szCs w:val="24"/>
              </w:rPr>
              <w:lastRenderedPageBreak/>
              <w:t>(документи) накладено її кваліфікований електронний підпис.</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rsidR="001611A8" w:rsidRDefault="00E77D31">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Приклади формальних помилок:</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«м.київ» замість «м.Київ»;</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-ок» замість «поря – док»;</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«ненадається» замість «не надається»»;</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учасник розмістив (завантажив) документ у форматі «JPG» замість  документа у форматі «pdf» (PortableDocumentFormat)». </w:t>
            </w:r>
          </w:p>
          <w:p w:rsidR="001611A8" w:rsidRDefault="00E77D31">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611A8" w:rsidRDefault="00E77D3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УВАГА!!!</w:t>
            </w:r>
          </w:p>
          <w:p w:rsidR="001611A8" w:rsidRDefault="00E77D31">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скан-копій через електронну систему закупівель. Тендерна пропозиція учасника має відповідати ряду вимог: </w:t>
            </w:r>
          </w:p>
          <w:p w:rsidR="001611A8" w:rsidRDefault="00E77D3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rsidR="001611A8" w:rsidRDefault="00E77D3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2) тендерна пропозиція учасника повинна бути підписана  </w:t>
            </w:r>
            <w:r w:rsidRPr="003810F5">
              <w:rPr>
                <w:rFonts w:ascii="Times New Roman" w:eastAsia="Times New Roman" w:hAnsi="Times New Roman" w:cs="Times New Roman"/>
                <w:b/>
                <w:color w:val="000000"/>
                <w:sz w:val="24"/>
                <w:szCs w:val="24"/>
              </w:rPr>
              <w:t>кваліфікованим електронним підписом (КЕП);</w:t>
            </w:r>
          </w:p>
          <w:p w:rsidR="001611A8" w:rsidRPr="003810F5" w:rsidRDefault="00E77D31">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3) якщо тендерна пропозиція містить і скановані, і електронні документи, потрібно накласти </w:t>
            </w:r>
            <w:r w:rsidR="00F279E5">
              <w:rPr>
                <w:rFonts w:ascii="Times New Roman" w:eastAsia="Times New Roman" w:hAnsi="Times New Roman" w:cs="Times New Roman"/>
                <w:b/>
                <w:color w:val="000000"/>
                <w:sz w:val="24"/>
                <w:szCs w:val="24"/>
              </w:rPr>
              <w:t>КЕП</w:t>
            </w:r>
            <w:r w:rsidRPr="003810F5">
              <w:rPr>
                <w:rFonts w:ascii="Times New Roman" w:eastAsia="Times New Roman" w:hAnsi="Times New Roman" w:cs="Times New Roman"/>
                <w:b/>
                <w:color w:val="000000"/>
                <w:sz w:val="24"/>
                <w:szCs w:val="24"/>
              </w:rPr>
              <w:t xml:space="preserve"> на тендерну пропозицію в цілому та на кожен електронний документ окремо.</w:t>
            </w:r>
          </w:p>
          <w:p w:rsidR="001611A8" w:rsidRPr="003810F5" w:rsidRDefault="00E77D31">
            <w:pPr>
              <w:jc w:val="both"/>
              <w:rPr>
                <w:rFonts w:ascii="Times New Roman" w:eastAsia="Times New Roman" w:hAnsi="Times New Roman" w:cs="Times New Roman"/>
                <w:b/>
                <w:color w:val="000000"/>
                <w:sz w:val="24"/>
                <w:szCs w:val="24"/>
              </w:rPr>
            </w:pPr>
            <w:r w:rsidRPr="003810F5">
              <w:rPr>
                <w:rFonts w:ascii="Times New Roman" w:eastAsia="Times New Roman" w:hAnsi="Times New Roman" w:cs="Times New Roman"/>
                <w:b/>
                <w:color w:val="000000"/>
                <w:sz w:val="24"/>
                <w:szCs w:val="24"/>
              </w:rPr>
              <w:t>Винятки:</w:t>
            </w:r>
          </w:p>
          <w:p w:rsidR="001611A8" w:rsidRPr="003810F5" w:rsidRDefault="00E77D31">
            <w:pPr>
              <w:jc w:val="both"/>
              <w:rPr>
                <w:rFonts w:ascii="Times New Roman" w:eastAsia="Times New Roman" w:hAnsi="Times New Roman" w:cs="Times New Roman"/>
                <w:b/>
                <w:color w:val="000000"/>
                <w:sz w:val="24"/>
                <w:szCs w:val="24"/>
              </w:rPr>
            </w:pPr>
            <w:r w:rsidRPr="003810F5">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w:t>
            </w:r>
            <w:r w:rsidR="00F279E5">
              <w:rPr>
                <w:rFonts w:ascii="Times New Roman" w:eastAsia="Times New Roman" w:hAnsi="Times New Roman" w:cs="Times New Roman"/>
                <w:b/>
                <w:color w:val="000000"/>
                <w:sz w:val="24"/>
                <w:szCs w:val="24"/>
              </w:rPr>
              <w:t>ю і на них уже накладено КЕП</w:t>
            </w:r>
            <w:r w:rsidRPr="003810F5">
              <w:rPr>
                <w:rFonts w:ascii="Times New Roman" w:eastAsia="Times New Roman" w:hAnsi="Times New Roman" w:cs="Times New Roman"/>
                <w:b/>
                <w:color w:val="000000"/>
                <w:sz w:val="24"/>
                <w:szCs w:val="24"/>
              </w:rPr>
              <w:t xml:space="preserve"> цієї організації, учаснику не потрібно</w:t>
            </w:r>
            <w:r w:rsidR="00F279E5">
              <w:rPr>
                <w:rFonts w:ascii="Times New Roman" w:eastAsia="Times New Roman" w:hAnsi="Times New Roman" w:cs="Times New Roman"/>
                <w:b/>
                <w:color w:val="000000"/>
                <w:sz w:val="24"/>
                <w:szCs w:val="24"/>
              </w:rPr>
              <w:t xml:space="preserve"> накладати на нього свій КЕП</w:t>
            </w:r>
            <w:r w:rsidRPr="003810F5">
              <w:rPr>
                <w:rFonts w:ascii="Times New Roman" w:eastAsia="Times New Roman" w:hAnsi="Times New Roman" w:cs="Times New Roman"/>
                <w:b/>
                <w:color w:val="000000"/>
                <w:sz w:val="24"/>
                <w:szCs w:val="24"/>
              </w:rPr>
              <w:t>.</w:t>
            </w:r>
          </w:p>
          <w:p w:rsidR="001611A8" w:rsidRDefault="00E77D31">
            <w:pPr>
              <w:widowControl w:val="0"/>
              <w:jc w:val="both"/>
              <w:rPr>
                <w:rFonts w:ascii="Times New Roman" w:eastAsia="Times New Roman" w:hAnsi="Times New Roman" w:cs="Times New Roman"/>
                <w:b/>
                <w:color w:val="000000"/>
                <w:sz w:val="24"/>
                <w:szCs w:val="24"/>
              </w:rPr>
            </w:pPr>
            <w:r w:rsidRPr="003810F5">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w:t>
            </w:r>
            <w:r w:rsidR="00F279E5">
              <w:rPr>
                <w:rFonts w:ascii="Times New Roman" w:eastAsia="Times New Roman" w:hAnsi="Times New Roman" w:cs="Times New Roman"/>
                <w:b/>
                <w:color w:val="000000"/>
                <w:sz w:val="24"/>
                <w:szCs w:val="24"/>
              </w:rPr>
              <w:t>без КЕП</w:t>
            </w:r>
            <w:r w:rsidRPr="003810F5">
              <w:rPr>
                <w:rFonts w:ascii="Times New Roman" w:eastAsia="Times New Roman" w:hAnsi="Times New Roman" w:cs="Times New Roman"/>
                <w:b/>
                <w:color w:val="000000"/>
                <w:sz w:val="24"/>
                <w:szCs w:val="24"/>
              </w:rPr>
              <w:t xml:space="preserve"> на документі), повинні містити</w:t>
            </w:r>
            <w:r w:rsidR="003810F5">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b/>
                <w:color w:val="000000"/>
                <w:sz w:val="24"/>
                <w:szCs w:val="24"/>
              </w:rPr>
              <w:t xml:space="preserve">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rsidR="001611A8" w:rsidRDefault="00E77D31">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rsidR="001611A8" w:rsidRDefault="00E77D31">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Замовник перевіряє </w:t>
            </w:r>
            <w:r w:rsidR="00F279E5">
              <w:rPr>
                <w:rFonts w:ascii="Times New Roman" w:eastAsia="Times New Roman" w:hAnsi="Times New Roman" w:cs="Times New Roman"/>
                <w:b/>
                <w:color w:val="000000"/>
                <w:sz w:val="24"/>
                <w:szCs w:val="24"/>
              </w:rPr>
              <w:t>КЕП</w:t>
            </w:r>
            <w:r w:rsidRPr="003810F5">
              <w:rPr>
                <w:rFonts w:ascii="Times New Roman" w:eastAsia="Times New Roman" w:hAnsi="Times New Roman" w:cs="Times New Roman"/>
                <w:b/>
                <w:color w:val="000000"/>
                <w:sz w:val="24"/>
                <w:szCs w:val="24"/>
              </w:rPr>
              <w:t xml:space="preserve"> учасника на сайті центрального засвідчувального органу за посиланням https://czo.gov.ua/ve</w:t>
            </w:r>
            <w:r w:rsidR="00F279E5">
              <w:rPr>
                <w:rFonts w:ascii="Times New Roman" w:eastAsia="Times New Roman" w:hAnsi="Times New Roman" w:cs="Times New Roman"/>
                <w:b/>
                <w:color w:val="000000"/>
                <w:sz w:val="24"/>
                <w:szCs w:val="24"/>
              </w:rPr>
              <w:t xml:space="preserve">rify. Під час перевірки КЕП </w:t>
            </w:r>
            <w:r w:rsidRPr="003810F5">
              <w:rPr>
                <w:rFonts w:ascii="Times New Roman" w:eastAsia="Times New Roman" w:hAnsi="Times New Roman" w:cs="Times New Roman"/>
                <w:b/>
                <w:color w:val="000000"/>
                <w:sz w:val="24"/>
                <w:szCs w:val="24"/>
              </w:rPr>
              <w:t>повинні відображатися: прізвище та ініціали особи, уповноваженої на підписання тендерної пропозиції (власника ключа).</w:t>
            </w:r>
            <w:r>
              <w:rPr>
                <w:rFonts w:ascii="Times New Roman" w:eastAsia="Times New Roman" w:hAnsi="Times New Roman" w:cs="Times New Roman"/>
                <w:b/>
                <w:color w:val="000000"/>
                <w:sz w:val="24"/>
                <w:szCs w:val="24"/>
              </w:rPr>
              <w:t xml:space="preserve"> </w:t>
            </w:r>
          </w:p>
          <w:p w:rsidR="001611A8" w:rsidRDefault="00E77D31">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закупівель </w:t>
            </w:r>
            <w:r>
              <w:rPr>
                <w:rFonts w:ascii="Times New Roman" w:eastAsia="Times New Roman" w:hAnsi="Times New Roman" w:cs="Times New Roman"/>
                <w:color w:val="000000"/>
                <w:sz w:val="24"/>
                <w:szCs w:val="24"/>
              </w:rPr>
              <w:lastRenderedPageBreak/>
              <w:t>(шляхом завантаження сканованих документів або електронних документів в електронну систему закупівель).</w:t>
            </w:r>
          </w:p>
          <w:p w:rsidR="001611A8" w:rsidRDefault="00E77D31">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rsidR="001611A8" w:rsidRDefault="00E77D31">
            <w:pPr>
              <w:widowControl w:val="0"/>
              <w:jc w:val="both"/>
              <w:rPr>
                <w:rFonts w:ascii="Times New Roman" w:eastAsia="Times New Roman" w:hAnsi="Times New Roman" w:cs="Times New Roman"/>
                <w:sz w:val="24"/>
                <w:szCs w:val="24"/>
              </w:rPr>
            </w:pPr>
            <w:bookmarkStart w:id="6" w:name="_heading=h.ftj7vaqoric" w:colFirst="0" w:colLast="0"/>
            <w:bookmarkEnd w:id="6"/>
            <w:r w:rsidRPr="00E84ABC">
              <w:rPr>
                <w:rFonts w:ascii="Times New Roman" w:eastAsia="Times New Roman" w:hAnsi="Times New Roman" w:cs="Times New Roman"/>
                <w:sz w:val="24"/>
                <w:szCs w:val="24"/>
              </w:rPr>
              <w:t xml:space="preserve">Кожен учасник має право подати тільки одну тендерну пропозицію(у тому числі до визначеної в тендерній документації частини предмета закупівлі (лота) </w:t>
            </w:r>
            <w:r w:rsidRPr="00E84ABC">
              <w:rPr>
                <w:rFonts w:ascii="Times New Roman" w:eastAsia="Times New Roman" w:hAnsi="Times New Roman" w:cs="Times New Roman"/>
                <w:i/>
                <w:sz w:val="24"/>
                <w:szCs w:val="24"/>
              </w:rPr>
              <w:t>(у разі здійснення закупівлі за лотами)</w:t>
            </w:r>
            <w:r w:rsidRPr="00E84ABC">
              <w:rPr>
                <w:rFonts w:ascii="Times New Roman" w:eastAsia="Times New Roman" w:hAnsi="Times New Roman" w:cs="Times New Roman"/>
                <w:sz w:val="24"/>
                <w:szCs w:val="24"/>
              </w:rPr>
              <w:t xml:space="preserve">. </w:t>
            </w:r>
          </w:p>
        </w:tc>
      </w:tr>
      <w:tr w:rsidR="001611A8">
        <w:trPr>
          <w:trHeight w:val="913"/>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611A8" w:rsidRDefault="00E77D31">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rsidR="001611A8" w:rsidRDefault="00E77D31">
            <w:pPr>
              <w:widowControl w:val="0"/>
              <w:ind w:right="120"/>
              <w:jc w:val="both"/>
              <w:rPr>
                <w:rFonts w:ascii="Times New Roman" w:eastAsia="Times New Roman" w:hAnsi="Times New Roman" w:cs="Times New Roman"/>
                <w:sz w:val="24"/>
                <w:szCs w:val="24"/>
                <w:highlight w:val="yellow"/>
              </w:rPr>
            </w:pPr>
            <w:r w:rsidRPr="00E84ABC">
              <w:rPr>
                <w:rFonts w:ascii="Times New Roman" w:eastAsia="Times New Roman" w:hAnsi="Times New Roman" w:cs="Times New Roman"/>
                <w:sz w:val="24"/>
                <w:szCs w:val="24"/>
              </w:rPr>
              <w:t>Забезпечення тендерної пропозиції не вимагається.</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rsidR="001611A8" w:rsidRDefault="00E77D31">
            <w:pPr>
              <w:widowControl w:val="0"/>
              <w:pBdr>
                <w:top w:val="nil"/>
                <w:left w:val="nil"/>
                <w:bottom w:val="nil"/>
                <w:right w:val="nil"/>
                <w:between w:val="nil"/>
              </w:pBdr>
              <w:ind w:right="120"/>
              <w:jc w:val="both"/>
              <w:rPr>
                <w:rFonts w:ascii="Times New Roman" w:eastAsia="Times New Roman" w:hAnsi="Times New Roman" w:cs="Times New Roman"/>
                <w:sz w:val="24"/>
                <w:szCs w:val="24"/>
                <w:highlight w:val="yellow"/>
              </w:rPr>
            </w:pPr>
            <w:r w:rsidRPr="00E84ABC">
              <w:rPr>
                <w:rFonts w:ascii="Times New Roman" w:eastAsia="Times New Roman" w:hAnsi="Times New Roman" w:cs="Times New Roman"/>
                <w:sz w:val="24"/>
                <w:szCs w:val="24"/>
              </w:rPr>
              <w:t>Не передбачається.</w:t>
            </w:r>
          </w:p>
          <w:p w:rsidR="001611A8" w:rsidRDefault="001611A8">
            <w:pPr>
              <w:widowControl w:val="0"/>
              <w:shd w:val="clear" w:color="auto" w:fill="FFFFFF"/>
              <w:ind w:right="120"/>
              <w:jc w:val="both"/>
              <w:rPr>
                <w:rFonts w:ascii="Times New Roman" w:eastAsia="Times New Roman" w:hAnsi="Times New Roman" w:cs="Times New Roman"/>
                <w:sz w:val="24"/>
                <w:szCs w:val="24"/>
                <w:highlight w:val="yellow"/>
              </w:rPr>
            </w:pPr>
          </w:p>
          <w:p w:rsidR="001611A8" w:rsidRDefault="001611A8">
            <w:pPr>
              <w:widowControl w:val="0"/>
              <w:jc w:val="both"/>
              <w:rPr>
                <w:rFonts w:ascii="Times New Roman" w:eastAsia="Times New Roman" w:hAnsi="Times New Roman" w:cs="Times New Roman"/>
                <w:sz w:val="24"/>
                <w:szCs w:val="24"/>
                <w:highlight w:val="yellow"/>
              </w:rPr>
            </w:pPr>
          </w:p>
        </w:tc>
      </w:tr>
      <w:tr w:rsidR="001611A8">
        <w:trPr>
          <w:trHeight w:val="560"/>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вважаються дійсними </w:t>
            </w:r>
            <w:r w:rsidRPr="00E84ABC">
              <w:rPr>
                <w:rFonts w:ascii="Times New Roman" w:eastAsia="Times New Roman" w:hAnsi="Times New Roman" w:cs="Times New Roman"/>
                <w:b/>
                <w:i/>
                <w:sz w:val="24"/>
                <w:szCs w:val="24"/>
                <w:u w:val="single"/>
              </w:rPr>
              <w:t>протягом 120 (ста двадцяти) днів</w:t>
            </w:r>
            <w:r w:rsidRPr="00E84ABC">
              <w:rPr>
                <w:rFonts w:ascii="Times New Roman" w:eastAsia="Times New Roman" w:hAnsi="Times New Roman" w:cs="Times New Roman"/>
                <w:sz w:val="24"/>
                <w:szCs w:val="24"/>
              </w:rPr>
              <w:t xml:space="preserve"> із дати кінцевого ст</w:t>
            </w:r>
            <w:r>
              <w:rPr>
                <w:rFonts w:ascii="Times New Roman" w:eastAsia="Times New Roman" w:hAnsi="Times New Roman" w:cs="Times New Roman"/>
                <w:sz w:val="24"/>
                <w:szCs w:val="24"/>
              </w:rPr>
              <w:t xml:space="preserve">року подання тендерних пропозицій. </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rsidR="001611A8" w:rsidRDefault="00E77D31">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w:t>
            </w:r>
            <w:r>
              <w:rPr>
                <w:rFonts w:ascii="Times New Roman" w:eastAsia="Times New Roman" w:hAnsi="Times New Roman" w:cs="Times New Roman"/>
                <w:b/>
                <w:sz w:val="24"/>
                <w:szCs w:val="24"/>
              </w:rPr>
              <w:t>,</w:t>
            </w:r>
            <w:r>
              <w:rPr>
                <w:rFonts w:ascii="Times New Roman" w:eastAsia="Times New Roman" w:hAnsi="Times New Roman" w:cs="Times New Roman"/>
                <w:b/>
                <w:color w:val="00B050"/>
                <w:sz w:val="24"/>
                <w:szCs w:val="24"/>
              </w:rPr>
              <w:t xml:space="preserve"> </w:t>
            </w:r>
            <w:r w:rsidRPr="00E84ABC">
              <w:rPr>
                <w:rFonts w:ascii="Times New Roman" w:eastAsia="Times New Roman" w:hAnsi="Times New Roman" w:cs="Times New Roman"/>
                <w:b/>
                <w:color w:val="000000" w:themeColor="text1"/>
                <w:sz w:val="24"/>
                <w:szCs w:val="24"/>
              </w:rPr>
              <w:t>згідно  з пунктом 28  та пунктом 44  Особливостей</w:t>
            </w:r>
          </w:p>
        </w:tc>
        <w:tc>
          <w:tcPr>
            <w:tcW w:w="6420" w:type="dxa"/>
            <w:vAlign w:val="center"/>
          </w:tcPr>
          <w:p w:rsidR="001611A8" w:rsidRDefault="00E77D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sidR="00E84ABC">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rsidR="001611A8" w:rsidRDefault="00E77D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sidR="00E84ABC">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rsidR="001611A8" w:rsidRPr="00E84ABC" w:rsidRDefault="00E77D31">
            <w:pPr>
              <w:widowControl w:val="0"/>
              <w:ind w:right="120"/>
              <w:jc w:val="both"/>
              <w:rPr>
                <w:rFonts w:ascii="Times New Roman" w:eastAsia="Times New Roman" w:hAnsi="Times New Roman" w:cs="Times New Roman"/>
                <w:b/>
                <w:color w:val="000000" w:themeColor="text1"/>
                <w:sz w:val="24"/>
                <w:szCs w:val="24"/>
              </w:rPr>
            </w:pPr>
            <w:r>
              <w:rPr>
                <w:rFonts w:ascii="Times New Roman" w:eastAsia="Times New Roman" w:hAnsi="Times New Roman" w:cs="Times New Roman"/>
                <w:b/>
                <w:color w:val="000000"/>
                <w:sz w:val="24"/>
                <w:szCs w:val="24"/>
              </w:rPr>
              <w:t xml:space="preserve">Підстави, </w:t>
            </w:r>
            <w:r w:rsidRPr="00E84ABC">
              <w:rPr>
                <w:rFonts w:ascii="Times New Roman" w:eastAsia="Times New Roman" w:hAnsi="Times New Roman" w:cs="Times New Roman"/>
                <w:b/>
                <w:color w:val="000000" w:themeColor="text1"/>
                <w:sz w:val="24"/>
                <w:szCs w:val="24"/>
              </w:rPr>
              <w:t>визначені</w:t>
            </w:r>
            <w:r w:rsidR="00E84ABC" w:rsidRPr="00E84ABC">
              <w:rPr>
                <w:rFonts w:ascii="Times New Roman" w:eastAsia="Times New Roman" w:hAnsi="Times New Roman" w:cs="Times New Roman"/>
                <w:b/>
                <w:color w:val="000000" w:themeColor="text1"/>
                <w:sz w:val="24"/>
                <w:szCs w:val="24"/>
              </w:rPr>
              <w:t xml:space="preserve"> пунктом 44 Особливостей</w:t>
            </w:r>
            <w:r w:rsidRPr="00E84ABC">
              <w:rPr>
                <w:rFonts w:ascii="Times New Roman" w:eastAsia="Times New Roman" w:hAnsi="Times New Roman" w:cs="Times New Roman"/>
                <w:b/>
                <w:color w:val="000000" w:themeColor="text1"/>
                <w:sz w:val="24"/>
                <w:szCs w:val="24"/>
              </w:rPr>
              <w:t>.</w:t>
            </w:r>
          </w:p>
          <w:p w:rsidR="001611A8" w:rsidRPr="00E84ABC" w:rsidRDefault="00E77D3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lastRenderedPageBreak/>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 xml:space="preserve">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w:t>
            </w:r>
            <w:r w:rsidRPr="00E84ABC">
              <w:rPr>
                <w:rFonts w:ascii="Times New Roman" w:eastAsia="Times New Roman" w:hAnsi="Times New Roman" w:cs="Times New Roman"/>
                <w:color w:val="000000" w:themeColor="text1"/>
                <w:sz w:val="24"/>
                <w:szCs w:val="24"/>
              </w:rPr>
              <w:br/>
              <w:t>20 млн. гривень (у тому числі за лотом);</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11) 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у неї публічних закупівель товарів, робіт і послуг згідно із Законом України “Про санкції”;</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 xml:space="preserve">12) керівника учасника процедури закупівлі, фізичну особу, </w:t>
            </w:r>
            <w:r w:rsidRPr="00E84ABC">
              <w:rPr>
                <w:rFonts w:ascii="Times New Roman" w:eastAsia="Times New Roman" w:hAnsi="Times New Roman" w:cs="Times New Roman"/>
                <w:color w:val="000000" w:themeColor="text1"/>
                <w:sz w:val="24"/>
                <w:szCs w:val="24"/>
              </w:rPr>
              <w:lastRenderedPageBreak/>
              <w:t>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1611A8" w:rsidRPr="00E84ABC" w:rsidRDefault="00E77D31">
            <w:pPr>
              <w:widowControl w:val="0"/>
              <w:pBdr>
                <w:top w:val="nil"/>
                <w:left w:val="nil"/>
                <w:bottom w:val="nil"/>
                <w:right w:val="nil"/>
                <w:between w:val="nil"/>
              </w:pBdr>
              <w:spacing w:before="120"/>
              <w:jc w:val="both"/>
              <w:rPr>
                <w:rFonts w:ascii="Times New Roman" w:eastAsia="Times New Roman" w:hAnsi="Times New Roman" w:cs="Times New Roman"/>
                <w:color w:val="000000" w:themeColor="text1"/>
                <w:sz w:val="24"/>
                <w:szCs w:val="24"/>
              </w:rPr>
            </w:pPr>
            <w:r w:rsidRPr="00E84ABC">
              <w:rPr>
                <w:rFonts w:ascii="Times New Roman" w:eastAsia="Times New Roman" w:hAnsi="Times New Roman" w:cs="Times New Roman"/>
                <w:color w:val="000000" w:themeColor="text1"/>
                <w:sz w:val="24"/>
                <w:szCs w:val="24"/>
              </w:rPr>
              <w:t>Замовник може прийняти рішення про відмову учаснику процедури закупівлі в участі у відкритих торгах та може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w:t>
            </w:r>
            <w:r w:rsidR="00E84ABC">
              <w:rPr>
                <w:rFonts w:ascii="Times New Roman" w:eastAsia="Times New Roman" w:hAnsi="Times New Roman" w:cs="Times New Roman"/>
                <w:color w:val="000000" w:themeColor="text1"/>
                <w:sz w:val="24"/>
                <w:szCs w:val="24"/>
              </w:rPr>
              <w:t xml:space="preserve"> </w:t>
            </w:r>
            <w:r w:rsidRPr="00E84ABC">
              <w:rPr>
                <w:rFonts w:ascii="Times New Roman" w:eastAsia="Times New Roman" w:hAnsi="Times New Roman" w:cs="Times New Roman"/>
                <w:color w:val="000000" w:themeColor="text1"/>
                <w:sz w:val="24"/>
                <w:szCs w:val="24"/>
              </w:rPr>
              <w:t>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rsidR="001611A8" w:rsidRPr="00E84ABC" w:rsidRDefault="00E77D31">
            <w:pPr>
              <w:spacing w:after="348"/>
              <w:jc w:val="both"/>
              <w:rPr>
                <w:rFonts w:ascii="Times New Roman" w:eastAsia="Times New Roman" w:hAnsi="Times New Roman" w:cs="Times New Roman"/>
                <w:color w:val="000000" w:themeColor="text1"/>
                <w:sz w:val="24"/>
                <w:szCs w:val="24"/>
                <w:highlight w:val="white"/>
              </w:rPr>
            </w:pPr>
            <w:r w:rsidRPr="00E84ABC">
              <w:rPr>
                <w:rFonts w:ascii="Times New Roman" w:eastAsia="Times New Roman" w:hAnsi="Times New Roman" w:cs="Times New Roman"/>
                <w:color w:val="000000" w:themeColor="text1"/>
                <w:sz w:val="24"/>
                <w:szCs w:val="24"/>
                <w:highlight w:val="white"/>
              </w:rPr>
              <w:t>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44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закупівель шляхом обміну інформацією з іншими державними системами та реєстрами.</w:t>
            </w:r>
          </w:p>
          <w:p w:rsidR="006B1462" w:rsidRDefault="006B1462">
            <w:pPr>
              <w:spacing w:after="348"/>
              <w:jc w:val="both"/>
              <w:rPr>
                <w:rFonts w:ascii="Times New Roman" w:eastAsia="Times New Roman" w:hAnsi="Times New Roman" w:cs="Times New Roman"/>
                <w:color w:val="00B050"/>
                <w:sz w:val="24"/>
                <w:szCs w:val="24"/>
                <w:highlight w:val="white"/>
              </w:rPr>
            </w:pPr>
            <w:r>
              <w:rPr>
                <w:rStyle w:val="af0"/>
                <w:rFonts w:ascii="Arial" w:hAnsi="Arial" w:cs="Arial"/>
                <w:color w:val="323232"/>
                <w:sz w:val="19"/>
                <w:szCs w:val="19"/>
              </w:rPr>
              <w:t>«…УВАГА! Якщо при здійсненні самостійного декларування відсутності підстав, зазначених у пункті 44 Особливостей (крім абзацу чотирнадцятого цього пункту), в електронній системі буде визначено підтвердження інформації щодо службової (посадової) особи учасника процедури закупівлі, яка підписала тендерну пропозицію, учасник шляхом самостійного декларування відсутності таких підстав в електронній системі закупівель під час подання тендерної пропозиції, в місцях, де є підтвердження інформації щодо службової (посадової) особи учасника процедури закупівлі, яка підписала тендерну пропозицію, ТАКИМ ДЕКЛАРУВАННЯМ підтверджує інформацію  саме щодо керівника учасника.</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rsidR="001611A8" w:rsidRDefault="00E77D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8">
              <w:r>
                <w:rPr>
                  <w:rFonts w:ascii="Times New Roman" w:eastAsia="Times New Roman" w:hAnsi="Times New Roman" w:cs="Times New Roman"/>
                  <w:sz w:val="24"/>
                  <w:szCs w:val="24"/>
                </w:rPr>
                <w:t xml:space="preserve"> пунктом третім </w:t>
              </w:r>
            </w:hyperlink>
            <w:hyperlink r:id="rId9">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sz w:val="24"/>
                <w:szCs w:val="24"/>
              </w:rPr>
              <w:t>до цієї тендерної документації.</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w:t>
            </w:r>
          </w:p>
        </w:tc>
        <w:tc>
          <w:tcPr>
            <w:tcW w:w="2835" w:type="dxa"/>
          </w:tcPr>
          <w:p w:rsidR="001611A8" w:rsidRDefault="00E77D31" w:rsidP="00E84ABC">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Інформація про </w:t>
            </w:r>
            <w:r w:rsidRPr="00E84ABC">
              <w:rPr>
                <w:rFonts w:ascii="Times New Roman" w:eastAsia="Times New Roman" w:hAnsi="Times New Roman" w:cs="Times New Roman"/>
                <w:b/>
                <w:color w:val="000000" w:themeColor="text1"/>
                <w:sz w:val="24"/>
                <w:szCs w:val="24"/>
              </w:rPr>
              <w:t>субпідрядника /співвиконавця</w:t>
            </w:r>
            <w:r>
              <w:rPr>
                <w:rFonts w:ascii="Times New Roman" w:eastAsia="Times New Roman" w:hAnsi="Times New Roman" w:cs="Times New Roman"/>
                <w:b/>
                <w:color w:val="FF0000"/>
                <w:sz w:val="24"/>
                <w:szCs w:val="24"/>
              </w:rPr>
              <w:t xml:space="preserve"> </w:t>
            </w:r>
          </w:p>
        </w:tc>
        <w:tc>
          <w:tcPr>
            <w:tcW w:w="6420" w:type="dxa"/>
            <w:vAlign w:val="center"/>
          </w:tcPr>
          <w:p w:rsidR="00E84ABC" w:rsidRDefault="00E77D31" w:rsidP="00E84ABC">
            <w:pPr>
              <w:widowControl w:val="0"/>
              <w:ind w:right="120"/>
              <w:jc w:val="both"/>
              <w:rPr>
                <w:rFonts w:ascii="Times New Roman" w:eastAsia="Times New Roman" w:hAnsi="Times New Roman" w:cs="Times New Roman"/>
                <w:sz w:val="24"/>
                <w:szCs w:val="24"/>
              </w:rPr>
            </w:pPr>
            <w:r w:rsidRPr="00E84ABC">
              <w:rPr>
                <w:rFonts w:ascii="Times New Roman" w:eastAsia="Times New Roman" w:hAnsi="Times New Roman" w:cs="Times New Roman"/>
                <w:color w:val="000000"/>
                <w:sz w:val="24"/>
                <w:szCs w:val="24"/>
              </w:rPr>
              <w:t xml:space="preserve">Не передбачено.  </w:t>
            </w:r>
          </w:p>
          <w:p w:rsidR="001611A8" w:rsidRDefault="001611A8">
            <w:pPr>
              <w:widowControl w:val="0"/>
              <w:ind w:right="120"/>
              <w:jc w:val="both"/>
              <w:rPr>
                <w:rFonts w:ascii="Times New Roman" w:eastAsia="Times New Roman" w:hAnsi="Times New Roman" w:cs="Times New Roman"/>
                <w:sz w:val="24"/>
                <w:szCs w:val="24"/>
              </w:rPr>
            </w:pPr>
          </w:p>
        </w:tc>
      </w:tr>
      <w:tr w:rsidR="001611A8">
        <w:trPr>
          <w:trHeight w:val="841"/>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Учасник процедури закупівлі має право внести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1611A8">
        <w:trPr>
          <w:trHeight w:val="442"/>
          <w:jc w:val="center"/>
        </w:trPr>
        <w:tc>
          <w:tcPr>
            <w:tcW w:w="9960" w:type="dxa"/>
            <w:gridSpan w:val="3"/>
            <w:vAlign w:val="center"/>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rsidR="001611A8" w:rsidRPr="00122125" w:rsidRDefault="00E77D31">
            <w:pPr>
              <w:widowControl w:val="0"/>
              <w:ind w:left="40" w:right="12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122125">
              <w:rPr>
                <w:rFonts w:ascii="Times New Roman" w:eastAsia="Times New Roman" w:hAnsi="Times New Roman" w:cs="Times New Roman"/>
                <w:color w:val="000000" w:themeColor="text1"/>
                <w:sz w:val="24"/>
                <w:szCs w:val="24"/>
              </w:rPr>
              <w:t>—</w:t>
            </w:r>
            <w:r w:rsidR="00F279E5">
              <w:rPr>
                <w:rFonts w:ascii="Times New Roman" w:eastAsia="Times New Roman" w:hAnsi="Times New Roman" w:cs="Times New Roman"/>
                <w:b/>
                <w:color w:val="000000" w:themeColor="text1"/>
                <w:sz w:val="24"/>
                <w:szCs w:val="24"/>
              </w:rPr>
              <w:t xml:space="preserve"> 31</w:t>
            </w:r>
            <w:r w:rsidR="006918CF">
              <w:rPr>
                <w:rFonts w:ascii="Times New Roman" w:eastAsia="Times New Roman" w:hAnsi="Times New Roman" w:cs="Times New Roman"/>
                <w:b/>
                <w:color w:val="000000" w:themeColor="text1"/>
                <w:sz w:val="24"/>
                <w:szCs w:val="24"/>
              </w:rPr>
              <w:t xml:space="preserve"> </w:t>
            </w:r>
            <w:r w:rsidR="00122125">
              <w:rPr>
                <w:rFonts w:ascii="Times New Roman" w:eastAsia="Times New Roman" w:hAnsi="Times New Roman" w:cs="Times New Roman"/>
                <w:b/>
                <w:color w:val="000000" w:themeColor="text1"/>
                <w:sz w:val="24"/>
                <w:szCs w:val="24"/>
              </w:rPr>
              <w:t xml:space="preserve">березня 2023 </w:t>
            </w:r>
            <w:r w:rsidRPr="00122125">
              <w:rPr>
                <w:rFonts w:ascii="Times New Roman" w:eastAsia="Times New Roman" w:hAnsi="Times New Roman" w:cs="Times New Roman"/>
                <w:b/>
                <w:color w:val="000000" w:themeColor="text1"/>
                <w:sz w:val="24"/>
                <w:szCs w:val="24"/>
              </w:rPr>
              <w:t xml:space="preserve">року до </w:t>
            </w:r>
            <w:r w:rsidR="00122125">
              <w:rPr>
                <w:rFonts w:ascii="Times New Roman" w:eastAsia="Times New Roman" w:hAnsi="Times New Roman" w:cs="Times New Roman"/>
                <w:b/>
                <w:color w:val="000000" w:themeColor="text1"/>
                <w:sz w:val="24"/>
                <w:szCs w:val="24"/>
              </w:rPr>
              <w:t>0</w:t>
            </w:r>
            <w:r w:rsidRPr="00122125">
              <w:rPr>
                <w:rFonts w:ascii="Times New Roman" w:eastAsia="Times New Roman" w:hAnsi="Times New Roman" w:cs="Times New Roman"/>
                <w:b/>
                <w:color w:val="000000" w:themeColor="text1"/>
                <w:sz w:val="24"/>
                <w:szCs w:val="24"/>
              </w:rPr>
              <w:t>0:00 год.</w:t>
            </w:r>
          </w:p>
          <w:p w:rsidR="001611A8" w:rsidRDefault="00E77D31">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i/>
                <w:color w:val="4A86E8"/>
                <w:sz w:val="24"/>
                <w:szCs w:val="24"/>
              </w:rPr>
              <w:t>(строк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закупівель)</w:t>
            </w:r>
            <w:r>
              <w:rPr>
                <w:rFonts w:ascii="Times New Roman" w:eastAsia="Times New Roman" w:hAnsi="Times New Roman" w:cs="Times New Roman"/>
                <w:i/>
                <w:sz w:val="24"/>
                <w:szCs w:val="24"/>
              </w:rPr>
              <w:t>.</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rsidR="001611A8" w:rsidRDefault="00E77D31">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системою закупівель.</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rsidR="001611A8" w:rsidRDefault="00E77D31">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1611A8">
        <w:trPr>
          <w:trHeight w:val="512"/>
          <w:jc w:val="center"/>
        </w:trPr>
        <w:tc>
          <w:tcPr>
            <w:tcW w:w="9960" w:type="dxa"/>
            <w:gridSpan w:val="3"/>
            <w:vAlign w:val="center"/>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rsidR="001611A8" w:rsidRDefault="00E77D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rsidR="001611A8" w:rsidRPr="00122125" w:rsidRDefault="00E77D31">
            <w:pPr>
              <w:widowControl w:val="0"/>
              <w:jc w:val="both"/>
              <w:rPr>
                <w:rFonts w:ascii="Times New Roman" w:eastAsia="Times New Roman" w:hAnsi="Times New Roman" w:cs="Times New Roman"/>
                <w:b/>
                <w:sz w:val="24"/>
                <w:szCs w:val="24"/>
              </w:rPr>
            </w:pPr>
            <w:r w:rsidRPr="00122125">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1611A8" w:rsidRPr="00122125" w:rsidRDefault="00E77D31">
            <w:pPr>
              <w:widowControl w:val="0"/>
              <w:jc w:val="both"/>
              <w:rPr>
                <w:rFonts w:ascii="Times New Roman" w:eastAsia="Times New Roman" w:hAnsi="Times New Roman" w:cs="Times New Roman"/>
                <w:color w:val="000000" w:themeColor="text1"/>
                <w:sz w:val="24"/>
                <w:szCs w:val="24"/>
              </w:rPr>
            </w:pPr>
            <w:r w:rsidRPr="00122125">
              <w:rPr>
                <w:rFonts w:ascii="Times New Roman" w:eastAsia="Times New Roman" w:hAnsi="Times New Roman" w:cs="Times New Roman"/>
                <w:i/>
                <w:color w:val="000000" w:themeColor="text1"/>
                <w:sz w:val="24"/>
                <w:szCs w:val="24"/>
              </w:rPr>
              <w:lastRenderedPageBreak/>
              <w:t xml:space="preserve">Ціна тендерної пропозиції </w:t>
            </w:r>
            <w:r w:rsidR="00122125">
              <w:rPr>
                <w:rFonts w:ascii="Times New Roman" w:eastAsia="Times New Roman" w:hAnsi="Times New Roman" w:cs="Times New Roman"/>
                <w:i/>
                <w:color w:val="000000" w:themeColor="text1"/>
                <w:sz w:val="24"/>
                <w:szCs w:val="24"/>
              </w:rPr>
              <w:t xml:space="preserve">не може </w:t>
            </w:r>
            <w:r w:rsidRPr="00122125">
              <w:rPr>
                <w:rFonts w:ascii="Times New Roman" w:eastAsia="Times New Roman" w:hAnsi="Times New Roman" w:cs="Times New Roman"/>
                <w:i/>
                <w:color w:val="000000" w:themeColor="text1"/>
                <w:sz w:val="24"/>
                <w:szCs w:val="24"/>
              </w:rPr>
              <w:t>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rsidR="001611A8" w:rsidRPr="00122125" w:rsidRDefault="00E77D31">
            <w:pPr>
              <w:widowControl w:val="0"/>
              <w:jc w:val="both"/>
              <w:rPr>
                <w:rFonts w:ascii="Times New Roman" w:eastAsia="Times New Roman" w:hAnsi="Times New Roman" w:cs="Times New Roman"/>
                <w:b/>
                <w:i/>
                <w:color w:val="000000" w:themeColor="text1"/>
                <w:sz w:val="24"/>
                <w:szCs w:val="24"/>
              </w:rPr>
            </w:pPr>
            <w:r w:rsidRPr="00122125">
              <w:rPr>
                <w:rFonts w:ascii="Times New Roman" w:eastAsia="Times New Roman" w:hAnsi="Times New Roman" w:cs="Times New Roman"/>
                <w:i/>
                <w:color w:val="000000" w:themeColor="text1"/>
                <w:sz w:val="24"/>
                <w:szCs w:val="24"/>
              </w:rPr>
              <w:t xml:space="preserve">До розгляду </w:t>
            </w:r>
            <w:r w:rsidRPr="00122125">
              <w:rPr>
                <w:rFonts w:ascii="Times New Roman" w:eastAsia="Times New Roman" w:hAnsi="Times New Roman" w:cs="Times New Roman"/>
                <w:i/>
                <w:color w:val="000000" w:themeColor="text1"/>
                <w:sz w:val="24"/>
                <w:szCs w:val="24"/>
                <w:u w:val="single"/>
              </w:rPr>
              <w:t xml:space="preserve"> не приймається </w:t>
            </w:r>
            <w:r w:rsidRPr="00122125">
              <w:rPr>
                <w:rFonts w:ascii="Times New Roman" w:eastAsia="Times New Roman" w:hAnsi="Times New Roman" w:cs="Times New Roman"/>
                <w:i/>
                <w:color w:val="000000" w:themeColor="text1"/>
                <w:sz w:val="24"/>
                <w:szCs w:val="24"/>
              </w:rPr>
              <w:t xml:space="preserve">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rsidR="001611A8" w:rsidRPr="00F8495F" w:rsidRDefault="00E77D31">
            <w:pPr>
              <w:widowControl w:val="0"/>
              <w:jc w:val="both"/>
              <w:rPr>
                <w:rFonts w:ascii="Times New Roman" w:eastAsia="Times New Roman" w:hAnsi="Times New Roman" w:cs="Times New Roman"/>
                <w:color w:val="000000" w:themeColor="text1"/>
                <w:sz w:val="24"/>
                <w:szCs w:val="24"/>
              </w:rPr>
            </w:pPr>
            <w:r w:rsidRPr="00F8495F">
              <w:rPr>
                <w:rFonts w:ascii="Times New Roman" w:eastAsia="Times New Roman" w:hAnsi="Times New Roman" w:cs="Times New Roman"/>
                <w:color w:val="000000" w:themeColor="text1"/>
                <w:sz w:val="24"/>
                <w:szCs w:val="24"/>
              </w:rPr>
              <w:t>Оцінка здійснюється щодо предмета закупівлі в цілому.</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F8495F">
              <w:rPr>
                <w:rFonts w:ascii="Times New Roman" w:eastAsia="Times New Roman" w:hAnsi="Times New Roman" w:cs="Times New Roman"/>
                <w:b/>
                <w:color w:val="000000" w:themeColor="text1"/>
                <w:sz w:val="24"/>
                <w:szCs w:val="24"/>
              </w:rPr>
              <w:t>товар</w:t>
            </w:r>
            <w:r w:rsidRPr="00F8495F">
              <w:rPr>
                <w:rFonts w:ascii="Times New Roman" w:eastAsia="Times New Roman" w:hAnsi="Times New Roman" w:cs="Times New Roman"/>
                <w:color w:val="000000" w:themeColor="text1"/>
                <w:sz w:val="24"/>
                <w:szCs w:val="24"/>
              </w:rPr>
              <w:t xml:space="preserve">, що він пропонує </w:t>
            </w:r>
            <w:r w:rsidRPr="00F8495F">
              <w:rPr>
                <w:rFonts w:ascii="Times New Roman" w:eastAsia="Times New Roman" w:hAnsi="Times New Roman" w:cs="Times New Roman"/>
                <w:b/>
                <w:color w:val="000000" w:themeColor="text1"/>
                <w:sz w:val="24"/>
                <w:szCs w:val="24"/>
              </w:rPr>
              <w:t>поставити</w:t>
            </w:r>
            <w:r w:rsidR="00F8495F" w:rsidRPr="00F8495F">
              <w:rPr>
                <w:rFonts w:ascii="Times New Roman" w:eastAsia="Times New Roman" w:hAnsi="Times New Roman" w:cs="Times New Roman"/>
                <w:b/>
                <w:color w:val="000000" w:themeColor="text1"/>
                <w:sz w:val="24"/>
                <w:szCs w:val="24"/>
              </w:rPr>
              <w:t xml:space="preserve"> </w:t>
            </w:r>
            <w:r w:rsidRPr="00F8495F">
              <w:rPr>
                <w:rFonts w:ascii="Times New Roman" w:eastAsia="Times New Roman" w:hAnsi="Times New Roman" w:cs="Times New Roman"/>
                <w:color w:val="000000" w:themeColor="text1"/>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оподатковується), що сплачуються або мають бути сплачені, усіх інших витрат, передбачених для </w:t>
            </w:r>
            <w:r w:rsidR="00F8495F" w:rsidRPr="00F8495F">
              <w:rPr>
                <w:rFonts w:ascii="Times New Roman" w:eastAsia="Times New Roman" w:hAnsi="Times New Roman" w:cs="Times New Roman"/>
                <w:b/>
                <w:color w:val="000000" w:themeColor="text1"/>
                <w:sz w:val="24"/>
                <w:szCs w:val="24"/>
              </w:rPr>
              <w:t xml:space="preserve">товару  </w:t>
            </w:r>
            <w:r w:rsidRPr="00F8495F">
              <w:rPr>
                <w:rFonts w:ascii="Times New Roman" w:eastAsia="Times New Roman" w:hAnsi="Times New Roman" w:cs="Times New Roman"/>
                <w:color w:val="000000" w:themeColor="text1"/>
                <w:sz w:val="24"/>
                <w:szCs w:val="24"/>
              </w:rPr>
              <w:t>да</w:t>
            </w:r>
            <w:r w:rsidRPr="00F8495F">
              <w:rPr>
                <w:rFonts w:ascii="Times New Roman" w:eastAsia="Times New Roman" w:hAnsi="Times New Roman" w:cs="Times New Roman"/>
                <w:sz w:val="24"/>
                <w:szCs w:val="24"/>
              </w:rPr>
              <w:t>ного виду.</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w:t>
            </w:r>
            <w:r>
              <w:rPr>
                <w:rFonts w:ascii="Times New Roman" w:eastAsia="Times New Roman" w:hAnsi="Times New Roman" w:cs="Times New Roman"/>
                <w:color w:val="000000"/>
                <w:sz w:val="24"/>
                <w:szCs w:val="24"/>
              </w:rPr>
              <w:lastRenderedPageBreak/>
              <w:t>вартості відповідних товарів, робіт чи послуг тендерної пропозиції.</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пункту 38 Особливостей.</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rsidR="001611A8" w:rsidRDefault="00E77D3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1611A8" w:rsidRDefault="00E77D3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1611A8" w:rsidRDefault="00E77D31">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w:t>
            </w:r>
            <w:r w:rsidR="005C4F0A">
              <w:rPr>
                <w:rFonts w:ascii="Times New Roman" w:eastAsia="Times New Roman" w:hAnsi="Times New Roman" w:cs="Times New Roman"/>
                <w:sz w:val="24"/>
                <w:szCs w:val="24"/>
              </w:rPr>
              <w:t>изька ціна тендерної пропозиції</w:t>
            </w:r>
            <w:r>
              <w:rPr>
                <w:rFonts w:ascii="Times New Roman" w:eastAsia="Times New Roman" w:hAnsi="Times New Roman" w:cs="Times New Roman"/>
                <w:sz w:val="24"/>
                <w:szCs w:val="24"/>
              </w:rPr>
              <w:t xml:space="preserve">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1611A8" w:rsidRPr="005C4F0A" w:rsidRDefault="00E77D31">
            <w:pPr>
              <w:widowControl w:val="0"/>
              <w:jc w:val="both"/>
              <w:rPr>
                <w:rFonts w:ascii="Times New Roman" w:eastAsia="Times New Roman" w:hAnsi="Times New Roman" w:cs="Times New Roman"/>
                <w:color w:val="000000" w:themeColor="text1"/>
                <w:sz w:val="24"/>
                <w:szCs w:val="24"/>
              </w:rPr>
            </w:pPr>
            <w:r w:rsidRPr="005C4F0A">
              <w:rPr>
                <w:rFonts w:ascii="Times New Roman" w:eastAsia="Times New Roman" w:hAnsi="Times New Roman" w:cs="Times New Roman"/>
                <w:color w:val="000000" w:themeColor="text1"/>
                <w:sz w:val="24"/>
                <w:szCs w:val="24"/>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44 цих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w:t>
            </w:r>
            <w:r w:rsidR="005C4F0A" w:rsidRPr="005C4F0A">
              <w:rPr>
                <w:rFonts w:ascii="Times New Roman" w:eastAsia="Times New Roman" w:hAnsi="Times New Roman" w:cs="Times New Roman"/>
                <w:color w:val="000000" w:themeColor="text1"/>
                <w:sz w:val="24"/>
                <w:szCs w:val="24"/>
              </w:rPr>
              <w:t>го учасника процедури закупівлі</w:t>
            </w:r>
            <w:r w:rsidRPr="005C4F0A">
              <w:rPr>
                <w:rFonts w:ascii="Times New Roman" w:eastAsia="Times New Roman" w:hAnsi="Times New Roman" w:cs="Times New Roman"/>
                <w:color w:val="000000" w:themeColor="text1"/>
                <w:sz w:val="24"/>
                <w:szCs w:val="24"/>
              </w:rPr>
              <w:t>.</w:t>
            </w:r>
          </w:p>
          <w:p w:rsidR="001611A8" w:rsidRDefault="00E77D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w:t>
            </w:r>
            <w:r>
              <w:rPr>
                <w:rFonts w:ascii="Times New Roman" w:eastAsia="Times New Roman" w:hAnsi="Times New Roman" w:cs="Times New Roman"/>
                <w:sz w:val="24"/>
                <w:szCs w:val="24"/>
                <w:highlight w:val="white"/>
              </w:rPr>
              <w:lastRenderedPageBreak/>
              <w:t xml:space="preserve">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sidR="005C4F0A">
              <w:rPr>
                <w:rFonts w:ascii="Times New Roman" w:eastAsia="Times New Roman" w:hAnsi="Times New Roman" w:cs="Times New Roman"/>
                <w:b/>
                <w:i/>
                <w:sz w:val="24"/>
                <w:szCs w:val="24"/>
                <w:highlight w:val="white"/>
              </w:rPr>
              <w:t xml:space="preserve"> </w:t>
            </w:r>
            <w:r>
              <w:rPr>
                <w:rFonts w:ascii="Times New Roman" w:eastAsia="Times New Roman" w:hAnsi="Times New Roman" w:cs="Times New Roman"/>
                <w:sz w:val="24"/>
                <w:szCs w:val="24"/>
                <w:highlight w:val="white"/>
              </w:rPr>
              <w:t>до закінчення строку розгляду тендерних пропозицій, повідомлення з вимогою про усунення таких невідповідностей в електронній системі закупівель.</w:t>
            </w:r>
          </w:p>
          <w:p w:rsidR="001611A8" w:rsidRDefault="00E77D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w:t>
            </w:r>
            <w:r w:rsidRPr="005C4F0A">
              <w:rPr>
                <w:rFonts w:ascii="Times New Roman" w:eastAsia="Times New Roman" w:hAnsi="Times New Roman" w:cs="Times New Roman"/>
                <w:color w:val="000000" w:themeColor="text1"/>
                <w:sz w:val="24"/>
                <w:szCs w:val="24"/>
                <w:highlight w:val="white"/>
              </w:rPr>
              <w:t>та/або відсутності інформації</w:t>
            </w:r>
            <w:r w:rsidR="005C4F0A">
              <w:rPr>
                <w:rFonts w:ascii="Times New Roman" w:eastAsia="Times New Roman" w:hAnsi="Times New Roman" w:cs="Times New Roman"/>
                <w:color w:val="00B050"/>
                <w:sz w:val="24"/>
                <w:szCs w:val="24"/>
                <w:highlight w:val="white"/>
              </w:rPr>
              <w:t xml:space="preserve"> </w:t>
            </w:r>
            <w:r>
              <w:rPr>
                <w:rFonts w:ascii="Times New Roman" w:eastAsia="Times New Roman" w:hAnsi="Times New Roman" w:cs="Times New Roman"/>
                <w:sz w:val="24"/>
                <w:szCs w:val="24"/>
                <w:highlight w:val="white"/>
              </w:rPr>
              <w:t xml:space="preserve">(та/або документів) про технічні та якісні характеристики предмета закупівлі, що пропонується учасником процедури в його тендерній пропозиції). </w:t>
            </w:r>
          </w:p>
          <w:p w:rsidR="001611A8" w:rsidRDefault="00E77D31">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1611A8" w:rsidRDefault="00E77D31">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не може розміщувати щодо одного й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невідповідностей.</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розглядає подані тендерні пропозиції з урахуванням виправлення або невиправлення учасниками виявлених невідповідностей.</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пункту 46 Особливостей.</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rsidR="001611A8" w:rsidRDefault="00E77D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До розрахунку ціни  пропозиції не включаються будь-які витрати, понесені учасником у процесі проведення процедури закупівлі та укладення договору про закупівлю</w:t>
            </w:r>
            <w:r w:rsidR="0032432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роз'яснення/нь державних органів або ненакладення електронного підпису.</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Учасник, який подав тендерну пропозицію, вважається таким, що згодний з 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 xml:space="preserve">ктом договору про закупівлю, викладеним </w:t>
            </w:r>
            <w:r>
              <w:rPr>
                <w:rFonts w:ascii="Times New Roman" w:eastAsia="Times New Roman" w:hAnsi="Times New Roman" w:cs="Times New Roman"/>
                <w:sz w:val="24"/>
                <w:szCs w:val="24"/>
              </w:rPr>
              <w:t>у</w:t>
            </w:r>
            <w:r w:rsidR="004E638D">
              <w:rPr>
                <w:rFonts w:ascii="Times New Roman" w:eastAsia="Times New Roman" w:hAnsi="Times New Roman" w:cs="Times New Roman"/>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rsidR="001611A8" w:rsidRDefault="00E77D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10.Фактом подання тендерної пропозиції учасник підтверджує, що у попередніх відносинах між  Учасником та Замовником таку оперативно-господарську/і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rsidR="001611A8" w:rsidRDefault="00E77D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1611A8" w:rsidRDefault="00E77D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w:t>
            </w:r>
            <w:r>
              <w:rPr>
                <w:rFonts w:ascii="Times New Roman" w:eastAsia="Times New Roman" w:hAnsi="Times New Roman" w:cs="Times New Roman"/>
                <w:sz w:val="24"/>
                <w:szCs w:val="24"/>
              </w:rPr>
              <w:lastRenderedPageBreak/>
              <w:t>якими є Російська Федерація або особи, пов’язані з країною-агресором, що визначені підпунктом 1 пункту 1 цієї Постанови;</w:t>
            </w:r>
          </w:p>
          <w:p w:rsidR="001611A8" w:rsidRDefault="00E77D31">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1611A8" w:rsidRDefault="00E77D31">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rsidR="001611A8" w:rsidRPr="004E638D" w:rsidRDefault="00E77D3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А також враховувати, що в Україні </w:t>
            </w:r>
            <w:r w:rsidRPr="004E638D">
              <w:rPr>
                <w:rFonts w:ascii="Times New Roman" w:eastAsia="Times New Roman" w:hAnsi="Times New Roman" w:cs="Times New Roman"/>
                <w:color w:val="000000" w:themeColor="text1"/>
                <w:sz w:val="24"/>
                <w:szCs w:val="24"/>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створених та зареєстрованих відповідно до законодавства Російської Федерації/Республіки Білорусь; юридичних осіб, створених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осіб, створених та зареєстрованих відповідно до законодавства Російської Федерації/Республіки Білорусь. </w:t>
            </w:r>
          </w:p>
          <w:p w:rsidR="001611A8" w:rsidRDefault="00E77D31">
            <w:pPr>
              <w:widowControl w:val="0"/>
              <w:jc w:val="both"/>
              <w:rPr>
                <w:rFonts w:ascii="Times New Roman" w:eastAsia="Times New Roman" w:hAnsi="Times New Roman" w:cs="Times New Roman"/>
                <w:i/>
                <w:sz w:val="20"/>
                <w:szCs w:val="20"/>
              </w:rPr>
            </w:pPr>
            <w:r w:rsidRPr="004E638D">
              <w:rPr>
                <w:rFonts w:ascii="Times New Roman" w:eastAsia="Times New Roman" w:hAnsi="Times New Roman" w:cs="Times New Roman"/>
                <w:color w:val="000000" w:themeColor="text1"/>
                <w:sz w:val="24"/>
                <w:szCs w:val="24"/>
              </w:rPr>
              <w:t xml:space="preserve"> Замовникам забороняється здійснювати публічні закупівлі товарів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4E638D">
              <w:rPr>
                <w:rFonts w:ascii="Times New Roman" w:eastAsia="Times New Roman" w:hAnsi="Times New Roman" w:cs="Times New Roman"/>
                <w:color w:val="000000" w:themeColor="text1"/>
                <w:sz w:val="24"/>
                <w:szCs w:val="24"/>
              </w:rPr>
              <w:t>раїни, 2022 р., № 84, ст. 5176)</w:t>
            </w:r>
            <w:r w:rsidRPr="004E638D">
              <w:rPr>
                <w:rFonts w:ascii="Times New Roman" w:eastAsia="Times New Roman" w:hAnsi="Times New Roman" w:cs="Times New Roman"/>
                <w:color w:val="000000" w:themeColor="text1"/>
                <w:sz w:val="24"/>
                <w:szCs w:val="24"/>
              </w:rPr>
              <w:t>.</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rsidR="001611A8" w:rsidRDefault="00E77D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b/>
                <w:i/>
                <w:sz w:val="24"/>
                <w:szCs w:val="24"/>
              </w:rPr>
              <w:t>Замовник відхиляє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у разі, коли:</w:t>
            </w:r>
          </w:p>
          <w:p w:rsidR="001611A8" w:rsidRDefault="00E77D31">
            <w:pPr>
              <w:widowControl w:val="0"/>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 учасник процедури закупівлі:</w:t>
            </w:r>
          </w:p>
          <w:p w:rsidR="001611A8" w:rsidRDefault="00E77D31">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другим пункту 39 Особливостей;</w:t>
            </w:r>
          </w:p>
          <w:p w:rsidR="001611A8" w:rsidRPr="00422407" w:rsidRDefault="00E77D3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422407">
              <w:rPr>
                <w:rFonts w:ascii="Times New Roman" w:eastAsia="Times New Roman" w:hAnsi="Times New Roman" w:cs="Times New Roman"/>
                <w:color w:val="000000" w:themeColor="text1"/>
                <w:sz w:val="24"/>
                <w:szCs w:val="24"/>
              </w:rPr>
              <w:t>не надав забезпечення тендерної пропозиції, якщо таке заб</w:t>
            </w:r>
            <w:r w:rsidR="00422407">
              <w:rPr>
                <w:rFonts w:ascii="Times New Roman" w:eastAsia="Times New Roman" w:hAnsi="Times New Roman" w:cs="Times New Roman"/>
                <w:color w:val="000000" w:themeColor="text1"/>
                <w:sz w:val="24"/>
                <w:szCs w:val="24"/>
              </w:rPr>
              <w:t>езпечення вимагалося замовником</w:t>
            </w:r>
            <w:r w:rsidRPr="00422407">
              <w:rPr>
                <w:rFonts w:ascii="Times New Roman" w:eastAsia="Times New Roman" w:hAnsi="Times New Roman" w:cs="Times New Roman"/>
                <w:color w:val="000000" w:themeColor="text1"/>
                <w:sz w:val="24"/>
                <w:szCs w:val="24"/>
              </w:rPr>
              <w:t>;</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w:t>
            </w:r>
            <w:r>
              <w:rPr>
                <w:rFonts w:ascii="Times New Roman" w:eastAsia="Times New Roman" w:hAnsi="Times New Roman" w:cs="Times New Roman"/>
                <w:sz w:val="24"/>
                <w:szCs w:val="24"/>
              </w:rPr>
              <w:lastRenderedPageBreak/>
              <w:t>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обґрунтування аномально низької ціни тендерної пропозиції протягом строку, визначеного абзацом п’ятим пункту 38 Особливостей;</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визначив конфіденційною інформацію, що не може бути визначена як конфіденційна відповідно до вимог абзацу другого пункту 36 Особливостей;</w:t>
            </w:r>
          </w:p>
          <w:p w:rsidR="001611A8" w:rsidRPr="00422407" w:rsidRDefault="00E77D3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422407">
              <w:rPr>
                <w:rFonts w:ascii="Times New Roman" w:eastAsia="Times New Roman" w:hAnsi="Times New Roman" w:cs="Times New Roman"/>
                <w:color w:val="000000" w:themeColor="text1"/>
                <w:sz w:val="24"/>
                <w:szCs w:val="24"/>
              </w:rPr>
              <w:t>є громадянином Російської Федерації/Республіки Білорусь (крім того, що проживає на території України на законних підставах); юридичною особою, створеною та зареєстрованою відповідно до законодавства Російської Федерації/Республіки Білорусь; юридичною особою, створеною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створеною та зареєстрованою відповідно до законодавства Російської Федерації/Республіки Білорусь; або пропонує в тендерній 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w:t>
            </w:r>
            <w:r w:rsidR="00422407">
              <w:rPr>
                <w:rFonts w:ascii="Times New Roman" w:eastAsia="Times New Roman" w:hAnsi="Times New Roman" w:cs="Times New Roman"/>
                <w:color w:val="000000" w:themeColor="text1"/>
                <w:sz w:val="24"/>
                <w:szCs w:val="24"/>
              </w:rPr>
              <w:t>раїни, 2022 р., № 84, ст. 5176)</w:t>
            </w:r>
            <w:r w:rsidRPr="00422407">
              <w:rPr>
                <w:rFonts w:ascii="Times New Roman" w:eastAsia="Times New Roman" w:hAnsi="Times New Roman" w:cs="Times New Roman"/>
                <w:color w:val="000000" w:themeColor="text1"/>
                <w:sz w:val="24"/>
                <w:szCs w:val="24"/>
              </w:rPr>
              <w:t>;</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2) тендерна пропозиція:</w:t>
            </w:r>
          </w:p>
          <w:p w:rsidR="001611A8" w:rsidRPr="00422407"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w:t>
            </w:r>
            <w:r w:rsidRPr="00422407">
              <w:rPr>
                <w:rFonts w:ascii="Times New Roman" w:eastAsia="Times New Roman" w:hAnsi="Times New Roman" w:cs="Times New Roman"/>
                <w:color w:val="000000" w:themeColor="text1"/>
                <w:sz w:val="24"/>
                <w:szCs w:val="24"/>
              </w:rPr>
              <w:t>не відповідає умовам технічної специфікації та іншим вимогам щодо предмета закупівлі тендерної документації, крім невідповідності у інформації та/або документах, що може бути усунена учасником процедури закупівлі відповідн</w:t>
            </w:r>
            <w:r w:rsidR="00422407">
              <w:rPr>
                <w:rFonts w:ascii="Times New Roman" w:eastAsia="Times New Roman" w:hAnsi="Times New Roman" w:cs="Times New Roman"/>
                <w:color w:val="000000" w:themeColor="text1"/>
                <w:sz w:val="24"/>
                <w:szCs w:val="24"/>
              </w:rPr>
              <w:t>о до пункту 40 цих особливостей</w:t>
            </w:r>
            <w:r w:rsidRPr="00422407">
              <w:rPr>
                <w:rFonts w:ascii="Times New Roman" w:eastAsia="Times New Roman" w:hAnsi="Times New Roman" w:cs="Times New Roman"/>
                <w:color w:val="000000" w:themeColor="text1"/>
                <w:sz w:val="24"/>
                <w:szCs w:val="24"/>
              </w:rPr>
              <w:t>;</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строк дії якої закінчився;</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не відповідає вимогам, установленим у тендерній документації відповідно до абзацу першого частини третьої статті 22 Закону;</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3) переможець процедури закупівлі:</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відмовився від підписання договору про закупівлю відповідно до вимог тендерної документації або укладення договору про закупівлю;</w:t>
            </w:r>
          </w:p>
          <w:p w:rsidR="001611A8" w:rsidRPr="00422407"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rPr>
              <w:t xml:space="preserve">— не надав у спосіб, зазначений в тендерній документації, документи, що підтверджують відсутність підстав, </w:t>
            </w:r>
            <w:r w:rsidRPr="00422407">
              <w:rPr>
                <w:rFonts w:ascii="Times New Roman" w:eastAsia="Times New Roman" w:hAnsi="Times New Roman" w:cs="Times New Roman"/>
                <w:color w:val="000000" w:themeColor="text1"/>
                <w:sz w:val="24"/>
                <w:szCs w:val="24"/>
              </w:rPr>
              <w:t>визначе</w:t>
            </w:r>
            <w:r w:rsidR="00422407">
              <w:rPr>
                <w:rFonts w:ascii="Times New Roman" w:eastAsia="Times New Roman" w:hAnsi="Times New Roman" w:cs="Times New Roman"/>
                <w:color w:val="000000" w:themeColor="text1"/>
                <w:sz w:val="24"/>
                <w:szCs w:val="24"/>
              </w:rPr>
              <w:t>них пунктом 44 цих Особливостей</w:t>
            </w:r>
            <w:r w:rsidRPr="00422407">
              <w:rPr>
                <w:rFonts w:ascii="Times New Roman" w:eastAsia="Times New Roman" w:hAnsi="Times New Roman" w:cs="Times New Roman"/>
                <w:color w:val="000000" w:themeColor="text1"/>
                <w:sz w:val="24"/>
                <w:szCs w:val="24"/>
              </w:rPr>
              <w:t>;</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копію ліцензії або документа дозвільного характеру (у разі їх наявності) відповідно до частини другої статті 41 Закону;</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не надав забезпечення виконання договору про закупівлю, якщо таке забезпечення вимагалося замовником;</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надав недостовірну інформацію, що є суттєвою для визначення результатів процедури закупівлі, яку замовником виявлено згідно з абзацом другим пункту 39 Особливостей.</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може відхилити тендерну пропозицію</w:t>
            </w:r>
            <w:r>
              <w:rPr>
                <w:rFonts w:ascii="Times New Roman" w:eastAsia="Times New Roman" w:hAnsi="Times New Roman" w:cs="Times New Roman"/>
                <w:sz w:val="24"/>
                <w:szCs w:val="24"/>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rPr>
              <w:t>у разі, коли:</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1611A8" w:rsidRDefault="00E77D31">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 переможцю процедури закупівлі, тендерна пропозиція якого відхилена, через електронну систему закупівель.</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w:t>
            </w:r>
            <w:r>
              <w:rPr>
                <w:rFonts w:ascii="Times New Roman" w:eastAsia="Times New Roman" w:hAnsi="Times New Roman" w:cs="Times New Roman"/>
                <w:sz w:val="24"/>
                <w:szCs w:val="24"/>
              </w:rPr>
              <w:lastRenderedPageBreak/>
              <w:t xml:space="preserve">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rPr>
              <w:t>не пізніш як через чотири дні</w:t>
            </w:r>
            <w:r w:rsidR="00422407">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1611A8">
        <w:trPr>
          <w:trHeight w:val="472"/>
          <w:jc w:val="center"/>
        </w:trPr>
        <w:tc>
          <w:tcPr>
            <w:tcW w:w="9960" w:type="dxa"/>
            <w:gridSpan w:val="3"/>
            <w:vAlign w:val="center"/>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rsidR="001611A8" w:rsidRDefault="00E77D31">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rsidR="001611A8" w:rsidRDefault="00E77D3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скорочення обсягу видатків на здійснення закупівлі товарів, робіт чи послуг;</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rsidR="001611A8" w:rsidRDefault="00E77D31">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rsidR="001611A8" w:rsidRDefault="00E77D31">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закупівель повідомлення про намір укласти договір про закупівлю </w:t>
            </w:r>
            <w:r>
              <w:rPr>
                <w:rFonts w:ascii="Times New Roman" w:eastAsia="Times New Roman" w:hAnsi="Times New Roman" w:cs="Times New Roman"/>
                <w:sz w:val="24"/>
                <w:szCs w:val="24"/>
                <w:highlight w:val="white"/>
              </w:rPr>
              <w:lastRenderedPageBreak/>
              <w:t>перебіг строку для укладення договору про закупівлю зупиняється.</w:t>
            </w:r>
          </w:p>
          <w:p w:rsidR="001611A8" w:rsidRDefault="00E77D31">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rsidR="001611A8" w:rsidRDefault="00E77D31">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rsidR="001611A8" w:rsidRDefault="00E77D31">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у строки, визначені пунктом 2 «Строк укладання договору про закупівлю» цього розділу.</w:t>
            </w:r>
          </w:p>
          <w:p w:rsidR="001611A8" w:rsidRDefault="00E77D31">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rsidR="001611A8" w:rsidRDefault="00E77D3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rsidR="001611A8" w:rsidRDefault="00E77D31">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rsidR="001611A8" w:rsidRDefault="00E77D31">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підпункту 3  пункту 41 Особливостей.</w:t>
            </w:r>
          </w:p>
        </w:tc>
      </w:tr>
      <w:tr w:rsidR="001611A8">
        <w:trPr>
          <w:trHeight w:val="2100"/>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rsidR="001611A8" w:rsidRPr="00422407" w:rsidRDefault="00E77D31">
            <w:pPr>
              <w:widowControl w:val="0"/>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 xml:space="preserve">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w:t>
            </w:r>
            <w:r w:rsidRPr="00422407">
              <w:rPr>
                <w:rFonts w:ascii="Times New Roman" w:eastAsia="Times New Roman" w:hAnsi="Times New Roman" w:cs="Times New Roman"/>
                <w:color w:val="000000" w:themeColor="text1"/>
                <w:sz w:val="24"/>
                <w:szCs w:val="24"/>
              </w:rPr>
              <w:t>крім частин третьої – п’ятої, сьомої – дев’ятої ст</w:t>
            </w:r>
            <w:r w:rsidR="00422407">
              <w:rPr>
                <w:rFonts w:ascii="Times New Roman" w:eastAsia="Times New Roman" w:hAnsi="Times New Roman" w:cs="Times New Roman"/>
                <w:color w:val="000000" w:themeColor="text1"/>
                <w:sz w:val="24"/>
                <w:szCs w:val="24"/>
              </w:rPr>
              <w:t>атті 41 Закону, та Особливостей</w:t>
            </w:r>
            <w:r w:rsidRPr="00422407">
              <w:rPr>
                <w:rFonts w:ascii="Times New Roman" w:eastAsia="Times New Roman" w:hAnsi="Times New Roman" w:cs="Times New Roman"/>
                <w:color w:val="000000" w:themeColor="text1"/>
                <w:sz w:val="24"/>
                <w:szCs w:val="24"/>
              </w:rPr>
              <w:t>.</w:t>
            </w:r>
          </w:p>
          <w:p w:rsidR="001611A8" w:rsidRPr="00422407" w:rsidRDefault="00E77D31">
            <w:pPr>
              <w:widowControl w:val="0"/>
              <w:jc w:val="both"/>
              <w:rPr>
                <w:rFonts w:ascii="Times New Roman" w:eastAsia="Times New Roman" w:hAnsi="Times New Roman" w:cs="Times New Roman"/>
                <w:color w:val="000000" w:themeColor="text1"/>
                <w:sz w:val="24"/>
                <w:szCs w:val="24"/>
              </w:rPr>
            </w:pPr>
            <w:r w:rsidRPr="00422407">
              <w:rPr>
                <w:rFonts w:ascii="Times New Roman" w:eastAsia="Times New Roman" w:hAnsi="Times New Roman" w:cs="Times New Roman"/>
                <w:color w:val="000000" w:themeColor="text1"/>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rsidR="001611A8" w:rsidRPr="00422407" w:rsidRDefault="00E77D3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22407">
              <w:rPr>
                <w:rFonts w:ascii="Times New Roman" w:eastAsia="Times New Roman" w:hAnsi="Times New Roman" w:cs="Times New Roman"/>
                <w:color w:val="000000" w:themeColor="text1"/>
                <w:sz w:val="24"/>
                <w:szCs w:val="24"/>
              </w:rPr>
              <w:t>Умови договору про закупівлю не повинні відрізнятися від змісту тендерної пропозиції переможця процедури закупівлі, крім випадків:</w:t>
            </w:r>
          </w:p>
          <w:p w:rsidR="001611A8" w:rsidRPr="00422407" w:rsidRDefault="00E77D3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22407">
              <w:rPr>
                <w:rFonts w:ascii="Times New Roman" w:eastAsia="Times New Roman" w:hAnsi="Times New Roman" w:cs="Times New Roman"/>
                <w:color w:val="000000" w:themeColor="text1"/>
                <w:sz w:val="24"/>
                <w:szCs w:val="24"/>
              </w:rPr>
              <w:t>визначення грошового еквівалента зобов’язання в іноземній валюті;</w:t>
            </w:r>
          </w:p>
          <w:p w:rsidR="001611A8" w:rsidRPr="00422407" w:rsidRDefault="00E77D31">
            <w:pPr>
              <w:widowControl w:val="0"/>
              <w:pBdr>
                <w:top w:val="nil"/>
                <w:left w:val="nil"/>
                <w:bottom w:val="nil"/>
                <w:right w:val="nil"/>
                <w:between w:val="nil"/>
              </w:pBdr>
              <w:jc w:val="both"/>
              <w:rPr>
                <w:rFonts w:ascii="Times New Roman" w:eastAsia="Times New Roman" w:hAnsi="Times New Roman" w:cs="Times New Roman"/>
                <w:color w:val="000000" w:themeColor="text1"/>
                <w:sz w:val="24"/>
                <w:szCs w:val="24"/>
              </w:rPr>
            </w:pPr>
            <w:r w:rsidRPr="00422407">
              <w:rPr>
                <w:rFonts w:ascii="Times New Roman" w:eastAsia="Times New Roman" w:hAnsi="Times New Roman" w:cs="Times New Roman"/>
                <w:color w:val="000000" w:themeColor="text1"/>
                <w:sz w:val="24"/>
                <w:szCs w:val="24"/>
              </w:rPr>
              <w:t>перерахунку ціни в бік зменшення ціни тендерної пропозиції переможця без зменшення обсягів закупівлі;</w:t>
            </w:r>
          </w:p>
          <w:p w:rsidR="001611A8" w:rsidRDefault="00E77D31">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422407">
              <w:rPr>
                <w:rFonts w:ascii="Times New Roman" w:eastAsia="Times New Roman" w:hAnsi="Times New Roman" w:cs="Times New Roman"/>
                <w:color w:val="000000" w:themeColor="text1"/>
                <w:sz w:val="24"/>
                <w:szCs w:val="24"/>
              </w:rPr>
              <w:t>перерахунку ціни та обсягів товарів в бік зменшення за умови необхідності приведення обсягів товарів до кратності упаковки.</w:t>
            </w:r>
          </w:p>
        </w:tc>
      </w:tr>
      <w:tr w:rsidR="001611A8">
        <w:trPr>
          <w:trHeight w:val="1119"/>
          <w:jc w:val="center"/>
        </w:trPr>
        <w:tc>
          <w:tcPr>
            <w:tcW w:w="705" w:type="dxa"/>
          </w:tcPr>
          <w:p w:rsidR="001611A8" w:rsidRDefault="00E77D31">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35" w:type="dxa"/>
          </w:tcPr>
          <w:p w:rsidR="001611A8" w:rsidRDefault="00E77D31">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rsidR="001611A8" w:rsidRPr="007B62F0" w:rsidRDefault="00E77D31">
            <w:pPr>
              <w:widowControl w:val="0"/>
              <w:ind w:right="120"/>
              <w:jc w:val="both"/>
              <w:rPr>
                <w:rFonts w:ascii="Times New Roman" w:eastAsia="Times New Roman" w:hAnsi="Times New Roman" w:cs="Times New Roman"/>
                <w:color w:val="000000" w:themeColor="text1"/>
                <w:sz w:val="24"/>
                <w:szCs w:val="24"/>
              </w:rPr>
            </w:pPr>
            <w:r w:rsidRPr="007B62F0">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rsidR="001611A8" w:rsidRDefault="001611A8">
            <w:pPr>
              <w:widowControl w:val="0"/>
              <w:jc w:val="both"/>
              <w:rPr>
                <w:rFonts w:ascii="Times New Roman" w:eastAsia="Times New Roman" w:hAnsi="Times New Roman" w:cs="Times New Roman"/>
                <w:sz w:val="24"/>
                <w:szCs w:val="24"/>
              </w:rPr>
            </w:pPr>
          </w:p>
        </w:tc>
      </w:tr>
    </w:tbl>
    <w:p w:rsidR="001611A8" w:rsidRDefault="001611A8">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rsidR="001611A8" w:rsidRPr="00BD7281" w:rsidRDefault="00E77D31">
      <w:pPr>
        <w:widowControl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 xml:space="preserve">1. Додаток 1 до тендерної документації на </w:t>
      </w:r>
      <w:r w:rsidRPr="00BD7281">
        <w:rPr>
          <w:rFonts w:ascii="Times New Roman" w:eastAsia="Times New Roman" w:hAnsi="Times New Roman" w:cs="Times New Roman"/>
          <w:sz w:val="24"/>
          <w:szCs w:val="24"/>
        </w:rPr>
        <w:t>_ арк. в 1 прим.</w:t>
      </w:r>
    </w:p>
    <w:p w:rsidR="001611A8" w:rsidRPr="00BD7281" w:rsidRDefault="00E77D31">
      <w:pPr>
        <w:widowControl w:val="0"/>
        <w:spacing w:after="0" w:line="240" w:lineRule="auto"/>
        <w:jc w:val="both"/>
        <w:rPr>
          <w:rFonts w:ascii="Times New Roman" w:eastAsia="Times New Roman" w:hAnsi="Times New Roman" w:cs="Times New Roman"/>
          <w:sz w:val="24"/>
          <w:szCs w:val="24"/>
        </w:rPr>
      </w:pPr>
      <w:r w:rsidRPr="00BD7281">
        <w:rPr>
          <w:rFonts w:ascii="Times New Roman" w:eastAsia="Times New Roman" w:hAnsi="Times New Roman" w:cs="Times New Roman"/>
          <w:sz w:val="24"/>
          <w:szCs w:val="24"/>
        </w:rPr>
        <w:t xml:space="preserve">                                               2. Додаток 2 до тендерної документації на _ арк. в 1 прим.</w:t>
      </w:r>
    </w:p>
    <w:p w:rsidR="001611A8" w:rsidRDefault="00E77D31">
      <w:pPr>
        <w:rPr>
          <w:rFonts w:ascii="Times New Roman" w:eastAsia="Times New Roman" w:hAnsi="Times New Roman" w:cs="Times New Roman"/>
          <w:highlight w:val="white"/>
        </w:rPr>
      </w:pPr>
      <w:r w:rsidRPr="00BD7281">
        <w:rPr>
          <w:rFonts w:ascii="Times New Roman" w:eastAsia="Times New Roman" w:hAnsi="Times New Roman" w:cs="Times New Roman"/>
          <w:sz w:val="24"/>
          <w:szCs w:val="24"/>
        </w:rPr>
        <w:t xml:space="preserve">                                               3. Додаток 3 до тендерної документації на _ арк</w:t>
      </w:r>
      <w:r>
        <w:rPr>
          <w:rFonts w:ascii="Times New Roman" w:eastAsia="Times New Roman" w:hAnsi="Times New Roman" w:cs="Times New Roman"/>
          <w:sz w:val="24"/>
          <w:szCs w:val="24"/>
          <w:highlight w:val="white"/>
        </w:rPr>
        <w:t>. в 1 прим</w:t>
      </w:r>
    </w:p>
    <w:p w:rsidR="001611A8" w:rsidRDefault="001611A8">
      <w:pPr>
        <w:widowControl w:val="0"/>
        <w:spacing w:after="0" w:line="240" w:lineRule="auto"/>
        <w:jc w:val="both"/>
        <w:rPr>
          <w:rFonts w:ascii="Times New Roman" w:eastAsia="Times New Roman" w:hAnsi="Times New Roman" w:cs="Times New Roman"/>
          <w:sz w:val="24"/>
          <w:szCs w:val="24"/>
        </w:rPr>
      </w:pPr>
    </w:p>
    <w:sectPr w:rsidR="001611A8" w:rsidSect="0024367A">
      <w:headerReference w:type="default" r:id="rId10"/>
      <w:footerReference w:type="default" r:id="rId11"/>
      <w:headerReference w:type="first" r:id="rId12"/>
      <w:footerReference w:type="first" r:id="rId13"/>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3153" w:rsidRDefault="00A23153">
      <w:pPr>
        <w:spacing w:after="0" w:line="240" w:lineRule="auto"/>
      </w:pPr>
      <w:r>
        <w:separator/>
      </w:r>
    </w:p>
  </w:endnote>
  <w:endnote w:type="continuationSeparator" w:id="0">
    <w:p w:rsidR="00A23153" w:rsidRDefault="00A23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Noto Sans">
    <w:altName w:val="Arial"/>
    <w:charset w:val="00"/>
    <w:family w:val="swiss"/>
    <w:pitch w:val="variable"/>
    <w:sig w:usb0="00000003" w:usb1="4000001F" w:usb2="08000029" w:usb3="00000000" w:csb0="00000001"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altName w:val="Arial Narrow"/>
    <w:charset w:val="00"/>
    <w:family w:val="swiss"/>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A8" w:rsidRDefault="0060772B">
    <w:pPr>
      <w:jc w:val="right"/>
    </w:pPr>
    <w:r>
      <w:rPr>
        <w:rFonts w:ascii="Times New Roman" w:eastAsia="Times New Roman" w:hAnsi="Times New Roman" w:cs="Times New Roman"/>
        <w:sz w:val="24"/>
        <w:szCs w:val="24"/>
      </w:rPr>
      <w:fldChar w:fldCharType="begin"/>
    </w:r>
    <w:r w:rsidR="00E77D31">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1872CB">
      <w:rPr>
        <w:rFonts w:ascii="Times New Roman" w:eastAsia="Times New Roman" w:hAnsi="Times New Roman" w:cs="Times New Roman"/>
        <w:noProof/>
        <w:sz w:val="24"/>
        <w:szCs w:val="24"/>
      </w:rPr>
      <w:t>4</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A8" w:rsidRDefault="001611A8"/>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3153" w:rsidRDefault="00A23153">
      <w:pPr>
        <w:spacing w:after="0" w:line="240" w:lineRule="auto"/>
      </w:pPr>
      <w:r>
        <w:separator/>
      </w:r>
    </w:p>
  </w:footnote>
  <w:footnote w:type="continuationSeparator" w:id="0">
    <w:p w:rsidR="00A23153" w:rsidRDefault="00A23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A8" w:rsidRDefault="0060772B">
    <w:pPr>
      <w:jc w:val="right"/>
    </w:pPr>
    <w:r>
      <w:fldChar w:fldCharType="begin"/>
    </w:r>
    <w:r w:rsidR="00E77D31">
      <w:instrText>PAGE</w:instrText>
    </w:r>
    <w:r>
      <w:fldChar w:fldCharType="separate"/>
    </w:r>
    <w:r w:rsidR="001872CB">
      <w:rPr>
        <w:noProof/>
      </w:rPr>
      <w:t>4</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1A8" w:rsidRDefault="0060772B">
    <w:pPr>
      <w:jc w:val="right"/>
    </w:pPr>
    <w:r>
      <w:fldChar w:fldCharType="begin"/>
    </w:r>
    <w:r w:rsidR="00E77D31">
      <w:instrText>PAGE</w:instrText>
    </w:r>
    <w:r>
      <w:fldChar w:fldCharType="separate"/>
    </w:r>
    <w:r w:rsidR="001872CB">
      <w:rPr>
        <w:noProof/>
      </w:rPr>
      <w:t>1</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91335"/>
    <w:multiLevelType w:val="multilevel"/>
    <w:tmpl w:val="372CF026"/>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3E67427C"/>
    <w:multiLevelType w:val="multilevel"/>
    <w:tmpl w:val="9CC4817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2" w15:restartNumberingAfterBreak="0">
    <w:nsid w:val="543D6BE1"/>
    <w:multiLevelType w:val="multilevel"/>
    <w:tmpl w:val="DFE045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1611A8"/>
    <w:rsid w:val="0006159A"/>
    <w:rsid w:val="00122125"/>
    <w:rsid w:val="001611A8"/>
    <w:rsid w:val="001872CB"/>
    <w:rsid w:val="0024367A"/>
    <w:rsid w:val="002F31D3"/>
    <w:rsid w:val="0032432D"/>
    <w:rsid w:val="003810F5"/>
    <w:rsid w:val="003C26DE"/>
    <w:rsid w:val="003E7F48"/>
    <w:rsid w:val="00422407"/>
    <w:rsid w:val="004B0C88"/>
    <w:rsid w:val="004C564A"/>
    <w:rsid w:val="004E638D"/>
    <w:rsid w:val="005C4F0A"/>
    <w:rsid w:val="005E2ACA"/>
    <w:rsid w:val="006023D6"/>
    <w:rsid w:val="00606F10"/>
    <w:rsid w:val="0060772B"/>
    <w:rsid w:val="006918CF"/>
    <w:rsid w:val="006B1462"/>
    <w:rsid w:val="007B62F0"/>
    <w:rsid w:val="00934C0D"/>
    <w:rsid w:val="00966CCB"/>
    <w:rsid w:val="009B5F65"/>
    <w:rsid w:val="00A23153"/>
    <w:rsid w:val="00A533AB"/>
    <w:rsid w:val="00BD7281"/>
    <w:rsid w:val="00C713E1"/>
    <w:rsid w:val="00CD067F"/>
    <w:rsid w:val="00D11E87"/>
    <w:rsid w:val="00DA2260"/>
    <w:rsid w:val="00DD59CD"/>
    <w:rsid w:val="00E23DE8"/>
    <w:rsid w:val="00E77D31"/>
    <w:rsid w:val="00E84ABC"/>
    <w:rsid w:val="00ED6FE4"/>
    <w:rsid w:val="00F279E5"/>
    <w:rsid w:val="00F642D7"/>
    <w:rsid w:val="00F8495F"/>
    <w:rsid w:val="00FA3CE7"/>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A8E06"/>
  <w15:docId w15:val="{4F84A812-07E9-450E-A303-B33BA105C5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5790"/>
  </w:style>
  <w:style w:type="paragraph" w:styleId="1">
    <w:name w:val="heading 1"/>
    <w:basedOn w:val="a"/>
    <w:next w:val="a"/>
    <w:uiPriority w:val="9"/>
    <w:qFormat/>
    <w:rsid w:val="0024367A"/>
    <w:pPr>
      <w:keepNext/>
      <w:keepLines/>
      <w:spacing w:before="480" w:after="120"/>
      <w:outlineLvl w:val="0"/>
    </w:pPr>
    <w:rPr>
      <w:b/>
      <w:sz w:val="48"/>
      <w:szCs w:val="48"/>
    </w:rPr>
  </w:style>
  <w:style w:type="paragraph" w:styleId="2">
    <w:name w:val="heading 2"/>
    <w:basedOn w:val="a"/>
    <w:next w:val="a"/>
    <w:uiPriority w:val="9"/>
    <w:semiHidden/>
    <w:unhideWhenUsed/>
    <w:qFormat/>
    <w:rsid w:val="0024367A"/>
    <w:pPr>
      <w:keepNext/>
      <w:keepLines/>
      <w:spacing w:before="360" w:after="80"/>
      <w:outlineLvl w:val="1"/>
    </w:pPr>
    <w:rPr>
      <w:b/>
      <w:sz w:val="36"/>
      <w:szCs w:val="36"/>
    </w:rPr>
  </w:style>
  <w:style w:type="paragraph" w:styleId="3">
    <w:name w:val="heading 3"/>
    <w:basedOn w:val="a"/>
    <w:next w:val="a"/>
    <w:uiPriority w:val="9"/>
    <w:semiHidden/>
    <w:unhideWhenUsed/>
    <w:qFormat/>
    <w:rsid w:val="0024367A"/>
    <w:pPr>
      <w:keepNext/>
      <w:keepLines/>
      <w:spacing w:before="280" w:after="80"/>
      <w:outlineLvl w:val="2"/>
    </w:pPr>
    <w:rPr>
      <w:b/>
      <w:sz w:val="28"/>
      <w:szCs w:val="28"/>
    </w:rPr>
  </w:style>
  <w:style w:type="paragraph" w:styleId="4">
    <w:name w:val="heading 4"/>
    <w:basedOn w:val="a"/>
    <w:next w:val="a"/>
    <w:uiPriority w:val="9"/>
    <w:semiHidden/>
    <w:unhideWhenUsed/>
    <w:qFormat/>
    <w:rsid w:val="0024367A"/>
    <w:pPr>
      <w:keepNext/>
      <w:keepLines/>
      <w:spacing w:before="240" w:after="40"/>
      <w:outlineLvl w:val="3"/>
    </w:pPr>
    <w:rPr>
      <w:b/>
      <w:sz w:val="24"/>
      <w:szCs w:val="24"/>
    </w:rPr>
  </w:style>
  <w:style w:type="paragraph" w:styleId="5">
    <w:name w:val="heading 5"/>
    <w:basedOn w:val="a"/>
    <w:next w:val="a"/>
    <w:uiPriority w:val="9"/>
    <w:semiHidden/>
    <w:unhideWhenUsed/>
    <w:qFormat/>
    <w:rsid w:val="0024367A"/>
    <w:pPr>
      <w:keepNext/>
      <w:keepLines/>
      <w:spacing w:before="220" w:after="40"/>
      <w:outlineLvl w:val="4"/>
    </w:pPr>
    <w:rPr>
      <w:b/>
    </w:rPr>
  </w:style>
  <w:style w:type="paragraph" w:styleId="6">
    <w:name w:val="heading 6"/>
    <w:basedOn w:val="a"/>
    <w:next w:val="a"/>
    <w:uiPriority w:val="9"/>
    <w:semiHidden/>
    <w:unhideWhenUsed/>
    <w:qFormat/>
    <w:rsid w:val="0024367A"/>
    <w:pPr>
      <w:keepNext/>
      <w:keepLines/>
      <w:spacing w:before="200" w:after="40"/>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24367A"/>
    <w:tblPr>
      <w:tblCellMar>
        <w:top w:w="0" w:type="dxa"/>
        <w:left w:w="0" w:type="dxa"/>
        <w:bottom w:w="0" w:type="dxa"/>
        <w:right w:w="0" w:type="dxa"/>
      </w:tblCellMar>
    </w:tblPr>
  </w:style>
  <w:style w:type="paragraph" w:styleId="a3">
    <w:name w:val="Title"/>
    <w:basedOn w:val="a"/>
    <w:next w:val="a"/>
    <w:uiPriority w:val="10"/>
    <w:qFormat/>
    <w:rsid w:val="0024367A"/>
    <w:pPr>
      <w:keepNext/>
      <w:keepLines/>
      <w:spacing w:before="480" w:after="120"/>
    </w:pPr>
    <w:rPr>
      <w:b/>
      <w:sz w:val="72"/>
      <w:szCs w:val="72"/>
    </w:rPr>
  </w:style>
  <w:style w:type="table" w:customStyle="1" w:styleId="TableNormal0">
    <w:name w:val="Table Normal"/>
    <w:rsid w:val="0024367A"/>
    <w:tblPr>
      <w:tblCellMar>
        <w:top w:w="0" w:type="dxa"/>
        <w:left w:w="0" w:type="dxa"/>
        <w:bottom w:w="0" w:type="dxa"/>
        <w:right w:w="0" w:type="dxa"/>
      </w:tblCellMar>
    </w:tblPr>
  </w:style>
  <w:style w:type="table" w:customStyle="1" w:styleId="TableNormal1">
    <w:name w:val="Table Normal"/>
    <w:rsid w:val="0024367A"/>
    <w:tblPr>
      <w:tblCellMar>
        <w:top w:w="0" w:type="dxa"/>
        <w:left w:w="0" w:type="dxa"/>
        <w:bottom w:w="0" w:type="dxa"/>
        <w:right w:w="0" w:type="dxa"/>
      </w:tblCellMar>
    </w:tblPr>
  </w:style>
  <w:style w:type="table" w:customStyle="1" w:styleId="TableNormal2">
    <w:name w:val="Table Normal"/>
    <w:rsid w:val="0024367A"/>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UnresolvedMention">
    <w:name w:val="Unresolved Mention"/>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basedOn w:val="a"/>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Subtitle"/>
    <w:basedOn w:val="a"/>
    <w:next w:val="a"/>
    <w:rsid w:val="0024367A"/>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b">
    <w:basedOn w:val="TableNormal2"/>
    <w:rsid w:val="0024367A"/>
    <w:pPr>
      <w:spacing w:after="0" w:line="240" w:lineRule="auto"/>
    </w:pPr>
    <w:tblPr>
      <w:tblStyleRowBandSize w:val="1"/>
      <w:tblStyleColBandSize w:val="1"/>
      <w:tblCellMar>
        <w:left w:w="108" w:type="dxa"/>
        <w:right w:w="108" w:type="dxa"/>
      </w:tblCellMar>
    </w:tblPr>
  </w:style>
  <w:style w:type="table" w:customStyle="1" w:styleId="ac">
    <w:basedOn w:val="TableNormal2"/>
    <w:rsid w:val="0024367A"/>
    <w:pPr>
      <w:spacing w:after="0" w:line="240" w:lineRule="auto"/>
    </w:pPr>
    <w:tblPr>
      <w:tblStyleRowBandSize w:val="1"/>
      <w:tblStyleColBandSize w:val="1"/>
      <w:tblCellMar>
        <w:left w:w="108" w:type="dxa"/>
        <w:right w:w="108" w:type="dxa"/>
      </w:tblCellMar>
    </w:tblPr>
  </w:style>
  <w:style w:type="table" w:customStyle="1" w:styleId="ad">
    <w:basedOn w:val="TableNormal1"/>
    <w:rsid w:val="0024367A"/>
    <w:pPr>
      <w:spacing w:after="0" w:line="240" w:lineRule="auto"/>
    </w:pPr>
    <w:tblPr>
      <w:tblStyleRowBandSize w:val="1"/>
      <w:tblStyleColBandSize w:val="1"/>
      <w:tblCellMar>
        <w:left w:w="108" w:type="dxa"/>
        <w:right w:w="108" w:type="dxa"/>
      </w:tblCellMar>
    </w:tblPr>
  </w:style>
  <w:style w:type="paragraph" w:customStyle="1" w:styleId="ae">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
    <w:basedOn w:val="TableNormal0"/>
    <w:rsid w:val="0024367A"/>
    <w:pPr>
      <w:spacing w:after="0" w:line="240" w:lineRule="auto"/>
    </w:pPr>
    <w:tblPr>
      <w:tblStyleRowBandSize w:val="1"/>
      <w:tblStyleColBandSize w:val="1"/>
      <w:tblCellMar>
        <w:left w:w="108" w:type="dxa"/>
        <w:right w:w="108" w:type="dxa"/>
      </w:tblCellMar>
    </w:tblPr>
  </w:style>
  <w:style w:type="character" w:styleId="af0">
    <w:name w:val="Emphasis"/>
    <w:basedOn w:val="a0"/>
    <w:uiPriority w:val="20"/>
    <w:qFormat/>
    <w:rsid w:val="006B1462"/>
    <w:rPr>
      <w:i/>
      <w:iCs/>
    </w:rPr>
  </w:style>
  <w:style w:type="paragraph" w:styleId="af1">
    <w:name w:val="No Spacing"/>
    <w:uiPriority w:val="1"/>
    <w:qFormat/>
    <w:rsid w:val="00934C0D"/>
    <w:pPr>
      <w:spacing w:after="0" w:line="240" w:lineRule="auto"/>
    </w:pPr>
  </w:style>
  <w:style w:type="paragraph" w:customStyle="1" w:styleId="22">
    <w:name w:val="Основной текст с отступом 22"/>
    <w:basedOn w:val="a"/>
    <w:rsid w:val="00934C0D"/>
    <w:pPr>
      <w:suppressAutoHyphens/>
      <w:spacing w:before="120" w:after="0" w:line="240" w:lineRule="auto"/>
      <w:ind w:firstLine="709"/>
      <w:jc w:val="both"/>
    </w:pPr>
    <w:rPr>
      <w:rFonts w:ascii="Times New Roman" w:eastAsia="Times New Roman" w:hAnsi="Times New Roman" w:cs="Times New Roman"/>
      <w:color w:val="FF0000"/>
      <w:kern w:val="2"/>
      <w:sz w:val="28"/>
      <w:szCs w:val="16"/>
      <w:lang w:eastAsia="zh-CN"/>
    </w:rPr>
  </w:style>
  <w:style w:type="paragraph" w:styleId="af2">
    <w:name w:val="Body Text"/>
    <w:basedOn w:val="a"/>
    <w:link w:val="af3"/>
    <w:rsid w:val="006023D6"/>
    <w:pPr>
      <w:suppressAutoHyphens/>
      <w:spacing w:after="120" w:line="240" w:lineRule="auto"/>
    </w:pPr>
    <w:rPr>
      <w:rFonts w:ascii="Times New Roman" w:eastAsia="Times New Roman" w:hAnsi="Times New Roman" w:cs="Times New Roman"/>
      <w:kern w:val="2"/>
      <w:sz w:val="24"/>
      <w:szCs w:val="24"/>
      <w:lang w:eastAsia="zh-CN"/>
    </w:rPr>
  </w:style>
  <w:style w:type="character" w:customStyle="1" w:styleId="af3">
    <w:name w:val="Основной текст Знак"/>
    <w:basedOn w:val="a0"/>
    <w:link w:val="af2"/>
    <w:rsid w:val="006023D6"/>
    <w:rPr>
      <w:rFonts w:ascii="Times New Roman" w:eastAsia="Times New Roman" w:hAnsi="Times New Roman" w:cs="Times New Roman"/>
      <w:kern w:val="2"/>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7207472">
      <w:bodyDiv w:val="1"/>
      <w:marLeft w:val="0"/>
      <w:marRight w:val="0"/>
      <w:marTop w:val="0"/>
      <w:marBottom w:val="0"/>
      <w:divBdr>
        <w:top w:val="none" w:sz="0" w:space="0" w:color="auto"/>
        <w:left w:val="none" w:sz="0" w:space="0" w:color="auto"/>
        <w:bottom w:val="none" w:sz="0" w:space="0" w:color="auto"/>
        <w:right w:val="none" w:sz="0" w:space="0" w:color="auto"/>
      </w:divBdr>
    </w:div>
    <w:div w:id="550071590">
      <w:bodyDiv w:val="1"/>
      <w:marLeft w:val="0"/>
      <w:marRight w:val="0"/>
      <w:marTop w:val="0"/>
      <w:marBottom w:val="0"/>
      <w:divBdr>
        <w:top w:val="none" w:sz="0" w:space="0" w:color="auto"/>
        <w:left w:val="none" w:sz="0" w:space="0" w:color="auto"/>
        <w:bottom w:val="none" w:sz="0" w:space="0" w:color="auto"/>
        <w:right w:val="none" w:sz="0" w:space="0" w:color="auto"/>
      </w:divBdr>
    </w:div>
    <w:div w:id="106503089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2289-17"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zakon4.rada.gov.ua/laws/show/2289-17"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w+oRuPemH6zpxt7EwXF9jBfcA8A==">AMUW2mWL59ADOFeBUFozxo7RcrB7tdbi72EBz0ZzilU1JAoDGfwdC81TYx3GOFdwWkqF2ZnoBgcaM/7dCDJxyhMhnKwhdRyHc1Tf+NWzdKRmxB90WUjW/QfX8/WEvsmBpLVs2OntThgEl2tgJTj385QDSvdL85nE9mamFkMtHZ0DlSkXuW8Yq7W6x4+v2hTUfGJAdmn5eZAEJeR0l2wlzWeOfZaoj62R6gziqZtIWmTEL9h6RveF1GQTiQ3eEELWEUm2C7+Uv4d0</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7975</Words>
  <Characters>45460</Characters>
  <Application>Microsoft Office Word</Application>
  <DocSecurity>0</DocSecurity>
  <Lines>378</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21</cp:revision>
  <dcterms:created xsi:type="dcterms:W3CDTF">2023-03-01T07:31:00Z</dcterms:created>
  <dcterms:modified xsi:type="dcterms:W3CDTF">2023-03-23T15:59:00Z</dcterms:modified>
</cp:coreProperties>
</file>