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F072F" w14:textId="77777777" w:rsidR="00900533" w:rsidRPr="00251054" w:rsidRDefault="00900533" w:rsidP="003C7F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51054">
        <w:rPr>
          <w:rFonts w:ascii="Times New Roman" w:hAnsi="Times New Roman"/>
          <w:b/>
          <w:sz w:val="24"/>
          <w:szCs w:val="24"/>
        </w:rPr>
        <w:t>Перелік змін</w:t>
      </w:r>
    </w:p>
    <w:p w14:paraId="044379D8" w14:textId="61CFA673" w:rsidR="00900533" w:rsidRPr="00251054" w:rsidRDefault="00900533" w:rsidP="002510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1054">
        <w:rPr>
          <w:rFonts w:ascii="Times New Roman" w:hAnsi="Times New Roman"/>
          <w:sz w:val="24"/>
          <w:szCs w:val="24"/>
        </w:rPr>
        <w:t xml:space="preserve"> </w:t>
      </w:r>
      <w:r w:rsidRPr="00251054">
        <w:rPr>
          <w:rFonts w:ascii="Times New Roman" w:hAnsi="Times New Roman"/>
          <w:b/>
          <w:sz w:val="24"/>
          <w:szCs w:val="24"/>
        </w:rPr>
        <w:t>до тендерної документації процедури закупівлі відкриті торги</w:t>
      </w:r>
      <w:r w:rsidR="00727458">
        <w:rPr>
          <w:rFonts w:ascii="Times New Roman" w:hAnsi="Times New Roman"/>
          <w:b/>
          <w:sz w:val="24"/>
          <w:szCs w:val="24"/>
          <w:lang w:val="ru-RU"/>
        </w:rPr>
        <w:t xml:space="preserve"> з </w:t>
      </w:r>
      <w:r w:rsidR="00727458" w:rsidRPr="0013349A">
        <w:rPr>
          <w:rFonts w:ascii="Times New Roman" w:hAnsi="Times New Roman"/>
          <w:b/>
          <w:sz w:val="24"/>
          <w:szCs w:val="24"/>
        </w:rPr>
        <w:t>особливостями</w:t>
      </w:r>
      <w:r w:rsidRPr="00251054">
        <w:rPr>
          <w:rFonts w:ascii="Times New Roman" w:hAnsi="Times New Roman"/>
          <w:b/>
          <w:sz w:val="24"/>
          <w:szCs w:val="24"/>
        </w:rPr>
        <w:t>:</w:t>
      </w:r>
    </w:p>
    <w:p w14:paraId="7AE8E665" w14:textId="110205BA" w:rsidR="00727458" w:rsidRPr="00727458" w:rsidRDefault="00C374FE" w:rsidP="0072745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</w:t>
      </w:r>
      <w:r w:rsidR="00727458" w:rsidRPr="0072745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остачання теплової енергії</w:t>
      </w:r>
      <w:r w:rsidR="00727458" w:rsidRPr="00727458">
        <w:rPr>
          <w:rFonts w:ascii="Times New Roman" w:hAnsi="Times New Roman"/>
          <w:b/>
          <w:bCs/>
          <w:sz w:val="24"/>
          <w:szCs w:val="24"/>
        </w:rPr>
        <w:t xml:space="preserve"> за кодом ДК 021:2015:09320000-8: Пара, гаряча вода та пов’язана продукція</w:t>
      </w:r>
    </w:p>
    <w:p w14:paraId="0EA78918" w14:textId="1304471D" w:rsidR="00900533" w:rsidRPr="00727458" w:rsidRDefault="00900533" w:rsidP="00AD38C3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51054">
        <w:rPr>
          <w:rFonts w:ascii="Times New Roman" w:hAnsi="Times New Roman"/>
          <w:sz w:val="24"/>
          <w:szCs w:val="24"/>
        </w:rPr>
        <w:t xml:space="preserve">Згідно </w:t>
      </w:r>
      <w:r w:rsidR="00727458">
        <w:rPr>
          <w:rFonts w:ascii="Times New Roman" w:hAnsi="Times New Roman"/>
          <w:sz w:val="24"/>
          <w:szCs w:val="24"/>
          <w:lang w:val="ru-RU"/>
        </w:rPr>
        <w:t xml:space="preserve">абз.3 п.51 </w:t>
      </w:r>
      <w:r w:rsidR="00727458" w:rsidRPr="0013349A">
        <w:rPr>
          <w:rFonts w:ascii="Times New Roman" w:hAnsi="Times New Roman"/>
          <w:sz w:val="24"/>
          <w:szCs w:val="24"/>
        </w:rPr>
        <w:t>Особливостей</w:t>
      </w:r>
    </w:p>
    <w:tbl>
      <w:tblPr>
        <w:tblW w:w="1618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654"/>
        <w:gridCol w:w="7965"/>
      </w:tblGrid>
      <w:tr w:rsidR="00253211" w:rsidRPr="00DD4071" w14:paraId="780CCF0F" w14:textId="77777777" w:rsidTr="00C374FE">
        <w:trPr>
          <w:trHeight w:hRule="exact" w:val="576"/>
        </w:trPr>
        <w:tc>
          <w:tcPr>
            <w:tcW w:w="567" w:type="dxa"/>
          </w:tcPr>
          <w:p w14:paraId="297A68C1" w14:textId="77777777" w:rsidR="00727458" w:rsidRPr="00861D66" w:rsidRDefault="00727458" w:rsidP="00F13B29">
            <w:pPr>
              <w:pStyle w:val="TableParagraph"/>
              <w:ind w:left="0"/>
              <w:rPr>
                <w:b/>
                <w:w w:val="99"/>
                <w:sz w:val="20"/>
                <w:szCs w:val="20"/>
                <w:lang w:val="uk-UA"/>
              </w:rPr>
            </w:pPr>
            <w:r w:rsidRPr="00861D66">
              <w:rPr>
                <w:b/>
                <w:w w:val="99"/>
                <w:sz w:val="20"/>
                <w:szCs w:val="20"/>
                <w:lang w:val="uk-UA"/>
              </w:rPr>
              <w:t>№</w:t>
            </w:r>
          </w:p>
          <w:p w14:paraId="5811833D" w14:textId="77777777" w:rsidR="00727458" w:rsidRPr="00861D66" w:rsidRDefault="00727458" w:rsidP="00CD39BF">
            <w:pPr>
              <w:pStyle w:val="TableParagraph"/>
              <w:ind w:left="0"/>
              <w:jc w:val="center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w w:val="99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654" w:type="dxa"/>
          </w:tcPr>
          <w:p w14:paraId="7D6F1687" w14:textId="77777777" w:rsidR="00727458" w:rsidRPr="00861D66" w:rsidRDefault="00727458" w:rsidP="0013349A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>Попередня редакція тендерної документації</w:t>
            </w:r>
          </w:p>
          <w:p w14:paraId="0520FF17" w14:textId="3A007EF4" w:rsidR="00F50616" w:rsidRPr="00861D66" w:rsidRDefault="00F50616" w:rsidP="00CD7F0F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 xml:space="preserve">Додаток </w:t>
            </w:r>
            <w:r w:rsidR="00CD7F0F">
              <w:rPr>
                <w:b/>
                <w:sz w:val="20"/>
                <w:szCs w:val="20"/>
                <w:lang w:val="uk-UA"/>
              </w:rPr>
              <w:t>3</w:t>
            </w:r>
            <w:r w:rsidRPr="00861D6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1D66">
              <w:rPr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861D66">
              <w:rPr>
                <w:b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7965" w:type="dxa"/>
          </w:tcPr>
          <w:p w14:paraId="30C08828" w14:textId="77777777" w:rsidR="00727458" w:rsidRPr="00861D66" w:rsidRDefault="00727458" w:rsidP="00F50616">
            <w:pPr>
              <w:pStyle w:val="TableParagraph"/>
              <w:ind w:left="123" w:right="123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>Нова редакція тендерної документації</w:t>
            </w:r>
          </w:p>
          <w:p w14:paraId="7B6E1122" w14:textId="3CDE3D58" w:rsidR="00F50616" w:rsidRPr="00861D66" w:rsidRDefault="00F50616" w:rsidP="00CD7F0F">
            <w:pPr>
              <w:pStyle w:val="TableParagraph"/>
              <w:ind w:left="123" w:right="123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 xml:space="preserve">Додаток </w:t>
            </w:r>
            <w:r w:rsidR="00CD7F0F">
              <w:rPr>
                <w:b/>
                <w:sz w:val="20"/>
                <w:szCs w:val="20"/>
                <w:lang w:val="uk-UA"/>
              </w:rPr>
              <w:t>3</w:t>
            </w:r>
            <w:r w:rsidRPr="00861D66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61D66">
              <w:rPr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861D66">
              <w:rPr>
                <w:b/>
                <w:sz w:val="20"/>
                <w:szCs w:val="20"/>
                <w:lang w:val="uk-UA"/>
              </w:rPr>
              <w:t xml:space="preserve"> договору</w:t>
            </w:r>
          </w:p>
        </w:tc>
      </w:tr>
      <w:tr w:rsidR="00CD7F0F" w:rsidRPr="00DD4071" w14:paraId="7D14DB10" w14:textId="77777777" w:rsidTr="00C374FE">
        <w:trPr>
          <w:trHeight w:hRule="exact" w:val="576"/>
        </w:trPr>
        <w:tc>
          <w:tcPr>
            <w:tcW w:w="567" w:type="dxa"/>
          </w:tcPr>
          <w:p w14:paraId="64782FA5" w14:textId="77777777" w:rsidR="00CD7F0F" w:rsidRPr="00861D66" w:rsidRDefault="00CD7F0F" w:rsidP="00F13B29">
            <w:pPr>
              <w:pStyle w:val="TableParagraph"/>
              <w:ind w:left="0"/>
              <w:rPr>
                <w:b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71C8B251" w14:textId="77777777" w:rsidR="00CD7F0F" w:rsidRPr="00861D66" w:rsidRDefault="00CD7F0F" w:rsidP="0013349A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65" w:type="dxa"/>
          </w:tcPr>
          <w:p w14:paraId="3B6DC46A" w14:textId="77777777" w:rsidR="00CD7F0F" w:rsidRPr="00861D66" w:rsidRDefault="00CD7F0F" w:rsidP="00F50616">
            <w:pPr>
              <w:pStyle w:val="TableParagraph"/>
              <w:ind w:left="123" w:right="123"/>
              <w:rPr>
                <w:b/>
                <w:sz w:val="20"/>
                <w:szCs w:val="20"/>
                <w:lang w:val="uk-UA"/>
              </w:rPr>
            </w:pPr>
          </w:p>
        </w:tc>
      </w:tr>
      <w:tr w:rsidR="00CD7F0F" w:rsidRPr="00DD4071" w14:paraId="5C8957EE" w14:textId="77777777" w:rsidTr="00C374FE">
        <w:trPr>
          <w:trHeight w:hRule="exact" w:val="576"/>
        </w:trPr>
        <w:tc>
          <w:tcPr>
            <w:tcW w:w="567" w:type="dxa"/>
          </w:tcPr>
          <w:p w14:paraId="0F6FA04C" w14:textId="77777777" w:rsidR="00CD7F0F" w:rsidRPr="00861D66" w:rsidRDefault="00CD7F0F" w:rsidP="00F13B29">
            <w:pPr>
              <w:pStyle w:val="TableParagraph"/>
              <w:ind w:left="0"/>
              <w:rPr>
                <w:b/>
                <w:w w:val="99"/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1C4BBB46" w14:textId="77777777" w:rsidR="00CD7F0F" w:rsidRPr="00861D66" w:rsidRDefault="00CD7F0F" w:rsidP="00CD7F0F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>Попередня редакція тендерної документації</w:t>
            </w:r>
          </w:p>
          <w:p w14:paraId="48653C08" w14:textId="205C3018" w:rsidR="00CD7F0F" w:rsidRPr="00861D66" w:rsidRDefault="00CD7F0F" w:rsidP="00CD7F0F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 xml:space="preserve">Додаток 5 </w:t>
            </w:r>
            <w:proofErr w:type="spellStart"/>
            <w:r w:rsidRPr="00861D66">
              <w:rPr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861D66">
              <w:rPr>
                <w:b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7965" w:type="dxa"/>
          </w:tcPr>
          <w:p w14:paraId="65166ACE" w14:textId="77777777" w:rsidR="00CD7F0F" w:rsidRPr="00861D66" w:rsidRDefault="00CD7F0F" w:rsidP="00CD7F0F">
            <w:pPr>
              <w:pStyle w:val="TableParagraph"/>
              <w:ind w:left="123" w:right="123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>Нова редакція тендерної документації</w:t>
            </w:r>
          </w:p>
          <w:p w14:paraId="6EBCD020" w14:textId="280C5294" w:rsidR="00CD7F0F" w:rsidRPr="00861D66" w:rsidRDefault="00CD7F0F" w:rsidP="00CD7F0F">
            <w:pPr>
              <w:pStyle w:val="TableParagraph"/>
              <w:ind w:left="123" w:right="123"/>
              <w:rPr>
                <w:b/>
                <w:sz w:val="20"/>
                <w:szCs w:val="20"/>
                <w:lang w:val="uk-UA"/>
              </w:rPr>
            </w:pPr>
            <w:r w:rsidRPr="00861D66">
              <w:rPr>
                <w:b/>
                <w:sz w:val="20"/>
                <w:szCs w:val="20"/>
                <w:lang w:val="uk-UA"/>
              </w:rPr>
              <w:t xml:space="preserve">Додаток 5 </w:t>
            </w:r>
            <w:proofErr w:type="spellStart"/>
            <w:r w:rsidRPr="00861D66">
              <w:rPr>
                <w:b/>
                <w:sz w:val="20"/>
                <w:szCs w:val="20"/>
                <w:lang w:val="uk-UA"/>
              </w:rPr>
              <w:t>Проєкт</w:t>
            </w:r>
            <w:proofErr w:type="spellEnd"/>
            <w:r w:rsidRPr="00861D66">
              <w:rPr>
                <w:b/>
                <w:sz w:val="20"/>
                <w:szCs w:val="20"/>
                <w:lang w:val="uk-UA"/>
              </w:rPr>
              <w:t xml:space="preserve"> договору</w:t>
            </w:r>
          </w:p>
        </w:tc>
      </w:tr>
      <w:tr w:rsidR="009B7DF1" w:rsidRPr="00CD39BF" w14:paraId="07530EA0" w14:textId="77777777" w:rsidTr="00C374FE">
        <w:trPr>
          <w:trHeight w:hRule="exact" w:val="1934"/>
        </w:trPr>
        <w:tc>
          <w:tcPr>
            <w:tcW w:w="567" w:type="dxa"/>
          </w:tcPr>
          <w:p w14:paraId="097736A4" w14:textId="7064CF2E" w:rsidR="009B7DF1" w:rsidRPr="00861D66" w:rsidRDefault="009B7DF1" w:rsidP="00A04DAF">
            <w:pPr>
              <w:pStyle w:val="TableParagraph"/>
              <w:ind w:left="10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654" w:type="dxa"/>
          </w:tcPr>
          <w:p w14:paraId="4B990C19" w14:textId="2360208F" w:rsidR="00C374FE" w:rsidRPr="00C374FE" w:rsidRDefault="00C374FE" w:rsidP="00C374FE">
            <w:pPr>
              <w:pStyle w:val="2"/>
              <w:spacing w:before="0"/>
              <w:ind w:left="4"/>
              <w:jc w:val="both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</w:pPr>
            <w:r w:rsidRPr="00C374FE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  <w:t>Розділ Предмет договору</w:t>
            </w:r>
          </w:p>
          <w:p w14:paraId="4549A371" w14:textId="79960003" w:rsidR="00C374FE" w:rsidRPr="00C374FE" w:rsidRDefault="00C374FE" w:rsidP="00C374FE">
            <w:pPr>
              <w:pStyle w:val="2"/>
              <w:spacing w:before="0"/>
              <w:ind w:left="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</w:pPr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Виконавець зобов’язується надавати споживачеві послугу з постачання теплової енергії для потреб опалення</w:t>
            </w:r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trike/>
                <w:sz w:val="20"/>
                <w:szCs w:val="20"/>
                <w:lang w:val="uk-UA"/>
              </w:rPr>
              <w:t>/на індивідуальний тепловий пункт для потреб опалення та приготування гарячої води (зайве закреслити</w:t>
            </w:r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) (далі - послуга) у період з </w:t>
            </w:r>
            <w:r w:rsidRPr="00C374FE">
              <w:rPr>
                <w:rFonts w:ascii="Times New Roman" w:hAnsi="Times New Roman"/>
                <w:i w:val="0"/>
                <w:iCs w:val="0"/>
                <w:sz w:val="20"/>
                <w:szCs w:val="20"/>
                <w:lang w:val="uk-UA"/>
              </w:rPr>
              <w:t>01.01.2023 року  31.12.2023 року</w:t>
            </w:r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включно у кількості </w:t>
            </w:r>
            <w:r w:rsidRPr="00C374FE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  <w:t>137,</w:t>
            </w:r>
            <w:r w:rsidRPr="00C374FE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586</w:t>
            </w:r>
            <w:r w:rsidRPr="00C374FE"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C374FE">
              <w:rPr>
                <w:rFonts w:ascii="Times New Roman" w:hAnsi="Times New Roman"/>
                <w:i w:val="0"/>
                <w:iCs w:val="0"/>
                <w:sz w:val="20"/>
                <w:szCs w:val="20"/>
                <w:lang w:val="uk-UA"/>
              </w:rPr>
              <w:t>Гкал</w:t>
            </w:r>
            <w:proofErr w:type="spellEnd"/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, а споживач зобов’язується  своєчасно та в повному обсязі оплачувати надану послугу в строки і на умовах, що визначені цим договором.</w:t>
            </w:r>
          </w:p>
          <w:p w14:paraId="3D77ED72" w14:textId="4C73DC26" w:rsidR="009B7DF1" w:rsidRPr="00BA45D6" w:rsidRDefault="009B7DF1" w:rsidP="00C374FE">
            <w:pPr>
              <w:pStyle w:val="a6"/>
              <w:spacing w:before="0"/>
              <w:ind w:left="30" w:hanging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</w:tcPr>
          <w:p w14:paraId="1756A253" w14:textId="77777777" w:rsidR="00C374FE" w:rsidRPr="00C374FE" w:rsidRDefault="00C374FE" w:rsidP="00C374FE">
            <w:pPr>
              <w:pStyle w:val="2"/>
              <w:spacing w:before="0"/>
              <w:ind w:left="4"/>
              <w:jc w:val="both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</w:pPr>
            <w:r w:rsidRPr="00C374FE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  <w:t>Розділ Предмет договору</w:t>
            </w:r>
          </w:p>
          <w:p w14:paraId="719E0378" w14:textId="72B394A1" w:rsidR="00C374FE" w:rsidRPr="00C374FE" w:rsidRDefault="00C374FE" w:rsidP="00C374FE">
            <w:pPr>
              <w:pStyle w:val="2"/>
              <w:spacing w:before="0"/>
              <w:ind w:left="4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</w:pPr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Виконавець зобов’язується надавати споживачеві послугу з постачання теплової енергії для потреб опалення (далі - послуга) у період з </w:t>
            </w:r>
            <w:r w:rsidRPr="00C374FE">
              <w:rPr>
                <w:rFonts w:ascii="Times New Roman" w:hAnsi="Times New Roman"/>
                <w:i w:val="0"/>
                <w:iCs w:val="0"/>
                <w:sz w:val="20"/>
                <w:szCs w:val="20"/>
                <w:lang w:val="uk-UA"/>
              </w:rPr>
              <w:t xml:space="preserve">01.01.2023 року </w:t>
            </w:r>
            <w:r w:rsidR="00CD7F0F">
              <w:rPr>
                <w:rFonts w:ascii="Times New Roman" w:hAnsi="Times New Roman"/>
                <w:i w:val="0"/>
                <w:iCs w:val="0"/>
                <w:sz w:val="20"/>
                <w:szCs w:val="20"/>
                <w:lang w:val="uk-UA"/>
              </w:rPr>
              <w:t>п</w:t>
            </w:r>
            <w:r w:rsidRPr="00C374FE">
              <w:rPr>
                <w:rFonts w:ascii="Times New Roman" w:hAnsi="Times New Roman"/>
                <w:i w:val="0"/>
                <w:iCs w:val="0"/>
                <w:sz w:val="20"/>
                <w:szCs w:val="20"/>
                <w:lang w:val="uk-UA"/>
              </w:rPr>
              <w:t>о 31.12.2023 року</w:t>
            </w:r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включно у кількості </w:t>
            </w:r>
            <w:r w:rsidRPr="00C374FE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  <w:t>137,</w:t>
            </w:r>
            <w:r w:rsidRPr="00C374FE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586</w:t>
            </w: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374FE">
              <w:rPr>
                <w:rFonts w:ascii="Times New Roman" w:hAnsi="Times New Roman"/>
                <w:i w:val="0"/>
                <w:iCs w:val="0"/>
                <w:sz w:val="20"/>
                <w:szCs w:val="20"/>
                <w:lang w:val="uk-UA"/>
              </w:rPr>
              <w:t>Гкал</w:t>
            </w:r>
            <w:proofErr w:type="spellEnd"/>
            <w:r w:rsidRPr="00C374FE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uk-UA"/>
              </w:rPr>
              <w:t>, а споживач зобов’язується  своєчасно та в повному обсязі оплачувати надану послугу в строки і на умовах, що визначені цим договором.</w:t>
            </w:r>
          </w:p>
          <w:p w14:paraId="3CDD0D46" w14:textId="534E13A5" w:rsidR="009B7DF1" w:rsidRPr="00BA45D6" w:rsidRDefault="009B7DF1" w:rsidP="009207AC">
            <w:pPr>
              <w:pStyle w:val="a6"/>
              <w:spacing w:before="0"/>
              <w:ind w:left="141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FE" w:rsidRPr="00CD39BF" w14:paraId="10BDA55F" w14:textId="77777777" w:rsidTr="00C374FE">
        <w:trPr>
          <w:trHeight w:hRule="exact" w:val="1934"/>
        </w:trPr>
        <w:tc>
          <w:tcPr>
            <w:tcW w:w="567" w:type="dxa"/>
          </w:tcPr>
          <w:p w14:paraId="48AE22E9" w14:textId="77777777" w:rsidR="00C374FE" w:rsidRDefault="00C374FE" w:rsidP="00A04DAF">
            <w:pPr>
              <w:pStyle w:val="TableParagraph"/>
              <w:ind w:left="10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5B7E115F" w14:textId="3B1F8C15" w:rsidR="00C374FE" w:rsidRPr="00C374FE" w:rsidRDefault="00C374FE" w:rsidP="00C374FE">
            <w:pPr>
              <w:pStyle w:val="a6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10. Обсяг спожитої у будівлі послуги визначається як обсяг теплової енергії, спожитої в будівлі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      </w:r>
            <w:proofErr w:type="spellStart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Мінрегіону</w:t>
            </w:r>
            <w:proofErr w:type="spellEnd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 від </w:t>
            </w:r>
            <w:r w:rsidR="00CD7F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22 листопада 2018 р. № 315 (далі — Методика розподілу).</w:t>
            </w:r>
            <w:r w:rsidRPr="00C37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65" w:type="dxa"/>
          </w:tcPr>
          <w:p w14:paraId="1A7326AD" w14:textId="77777777" w:rsidR="00C374FE" w:rsidRPr="00C374FE" w:rsidRDefault="00C374FE" w:rsidP="00C374FE">
            <w:pPr>
              <w:pStyle w:val="a6"/>
              <w:widowControl w:val="0"/>
              <w:spacing w:before="0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10. Обсяг спожитої у будівлі послуги визначається як обсяг теплової енергії, спожитої в будівлі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      </w:r>
            <w:proofErr w:type="spellStart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Мінрегіону</w:t>
            </w:r>
            <w:proofErr w:type="spellEnd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 від 22 листопада 2018 р. № 315 (далі — Методика розподілу).</w:t>
            </w:r>
            <w:r w:rsidRPr="00C374FE">
              <w:rPr>
                <w:sz w:val="20"/>
                <w:szCs w:val="20"/>
              </w:rPr>
              <w:t xml:space="preserve"> </w:t>
            </w:r>
            <w:r w:rsidRPr="00C374FE">
              <w:rPr>
                <w:rFonts w:ascii="Times New Roman" w:hAnsi="Times New Roman"/>
                <w:sz w:val="20"/>
                <w:szCs w:val="20"/>
              </w:rPr>
              <w:t>У разі організації вузла обліку не на межі розподілу інженерно-технічних мереж, розрахунок за теплову енергію здійснюється з урахуванням теплових втрат від межі розподілу до місця встановлення приладу обліку.</w:t>
            </w:r>
          </w:p>
          <w:p w14:paraId="0E6D435B" w14:textId="77777777" w:rsidR="00C374FE" w:rsidRPr="00C374FE" w:rsidRDefault="00C374FE" w:rsidP="00C374FE">
            <w:pPr>
              <w:pStyle w:val="2"/>
              <w:spacing w:before="0"/>
              <w:ind w:left="4"/>
              <w:jc w:val="both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  <w:lang w:val="uk-UA"/>
              </w:rPr>
            </w:pPr>
          </w:p>
        </w:tc>
      </w:tr>
      <w:tr w:rsidR="00C374FE" w:rsidRPr="00CD39BF" w14:paraId="6970C75C" w14:textId="77777777" w:rsidTr="00C374FE">
        <w:trPr>
          <w:trHeight w:hRule="exact" w:val="5818"/>
        </w:trPr>
        <w:tc>
          <w:tcPr>
            <w:tcW w:w="567" w:type="dxa"/>
          </w:tcPr>
          <w:p w14:paraId="2999C93D" w14:textId="77777777" w:rsidR="00C374FE" w:rsidRDefault="00C374FE" w:rsidP="00A04DAF">
            <w:pPr>
              <w:pStyle w:val="TableParagraph"/>
              <w:ind w:left="10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269D1035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20. Ціною (вартістю)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      </w:r>
          </w:p>
          <w:p w14:paraId="7283776D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Станом на дату укладення цього договору тариф на послугу становить:</w:t>
            </w:r>
          </w:p>
          <w:p w14:paraId="388976F3" w14:textId="77777777" w:rsidR="00C374FE" w:rsidRPr="00C374FE" w:rsidRDefault="00C374FE" w:rsidP="00C374FE">
            <w:pPr>
              <w:pStyle w:val="a6"/>
              <w:spacing w:before="0"/>
              <w:ind w:left="927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3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грн/</w:t>
            </w:r>
            <w:proofErr w:type="spellStart"/>
            <w:r w:rsidRPr="00C3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Гкал</w:t>
            </w:r>
            <w:proofErr w:type="spellEnd"/>
            <w:r w:rsidRPr="00C3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(з ПДВ);</w:t>
            </w:r>
          </w:p>
          <w:p w14:paraId="0CA526EA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а за умови встановлення </w:t>
            </w:r>
            <w:proofErr w:type="spellStart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двоставкового</w:t>
            </w:r>
            <w:proofErr w:type="spellEnd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 тарифу:</w:t>
            </w:r>
          </w:p>
          <w:p w14:paraId="36D2A24B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__-____ гривень за __-____ — умовно-змінна частина тарифу; </w:t>
            </w:r>
          </w:p>
          <w:p w14:paraId="49A8F56E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__-____ гривень за __-____ — умовно-постійна частина тарифу.   </w:t>
            </w:r>
          </w:p>
          <w:p w14:paraId="71DC6329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У разі прийняття уповноваженим органом рішення про зміну ціни/тарифу на зазначену послугу виконавець у строк, що не перевищує  15 днів з дати введення їх у дію, повідомляє про це споживачу з посиланням на рішення відповідних органів. </w:t>
            </w:r>
          </w:p>
          <w:p w14:paraId="2ED512CF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У разі зміни зазначеного тарифу протягом строку дії цього договору новий розмір тарифу застосовується з моменту його введення в дію. Виконавець письмово повідомляє про це споживача та надає зміни тарифів (цін) до договору у вигляді додаткової угоди, яка буде підписана обома сторонами, і буде невід`ємною частиною договору та обов`язковою для розрахунків.</w:t>
            </w:r>
          </w:p>
          <w:p w14:paraId="3F3F4CDE" w14:textId="77777777" w:rsidR="00C374FE" w:rsidRPr="00C374FE" w:rsidRDefault="00C374FE" w:rsidP="00C374FE">
            <w:pPr>
              <w:pStyle w:val="3"/>
              <w:spacing w:after="0"/>
              <w:ind w:left="0" w:firstLine="567"/>
              <w:jc w:val="both"/>
              <w:rPr>
                <w:sz w:val="20"/>
                <w:szCs w:val="20"/>
                <w:lang w:val="uk-UA"/>
              </w:rPr>
            </w:pPr>
            <w:r w:rsidRPr="00C374FE">
              <w:rPr>
                <w:sz w:val="20"/>
                <w:szCs w:val="20"/>
                <w:lang w:val="uk-UA"/>
              </w:rPr>
              <w:t>Сума цього Договору становить __________________грн. (_____________________________), у тому числі ПДВ _________________грн. (________________________), у тому числі за кошти місцевого бюджету ______________грн., за рахунок господарської діяльності (кошти спеціального фонду) _________________грн, в тому числі:</w:t>
            </w:r>
          </w:p>
          <w:p w14:paraId="7A74A6EE" w14:textId="77777777" w:rsidR="00C374FE" w:rsidRPr="00C374FE" w:rsidRDefault="00C374FE" w:rsidP="00C374FE">
            <w:pPr>
              <w:tabs>
                <w:tab w:val="left" w:pos="993"/>
              </w:tabs>
              <w:spacing w:after="0" w:line="240" w:lineRule="auto"/>
              <w:ind w:firstLine="562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374FE">
              <w:rPr>
                <w:rFonts w:ascii="Times New Roman" w:hAnsi="Times New Roman"/>
                <w:sz w:val="20"/>
                <w:szCs w:val="20"/>
              </w:rPr>
              <w:t>бюджетні асигнування споживача</w:t>
            </w:r>
            <w:r w:rsidRPr="00C374FE">
              <w:rPr>
                <w:rFonts w:ascii="Times New Roman" w:eastAsia="Arial" w:hAnsi="Times New Roman"/>
                <w:sz w:val="20"/>
                <w:szCs w:val="20"/>
              </w:rPr>
              <w:t xml:space="preserve"> – ___________грн з ПДВ</w:t>
            </w:r>
          </w:p>
          <w:p w14:paraId="6834E0D5" w14:textId="77777777" w:rsidR="00C374FE" w:rsidRPr="00C374FE" w:rsidRDefault="00C374FE" w:rsidP="00C374FE">
            <w:pPr>
              <w:tabs>
                <w:tab w:val="left" w:pos="993"/>
              </w:tabs>
              <w:spacing w:after="0" w:line="240" w:lineRule="auto"/>
              <w:ind w:firstLine="562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374FE">
              <w:rPr>
                <w:rFonts w:ascii="Times New Roman" w:hAnsi="Times New Roman"/>
                <w:sz w:val="20"/>
                <w:szCs w:val="20"/>
              </w:rPr>
              <w:t>за рахунок відшкодування орендарів</w:t>
            </w:r>
            <w:r w:rsidRPr="00C374FE">
              <w:rPr>
                <w:rFonts w:ascii="Times New Roman" w:eastAsia="Arial" w:hAnsi="Times New Roman"/>
                <w:sz w:val="20"/>
                <w:szCs w:val="20"/>
              </w:rPr>
              <w:t xml:space="preserve"> –________  грн. з ПДВ</w:t>
            </w:r>
          </w:p>
          <w:p w14:paraId="0BC9ED6C" w14:textId="774E0324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Загальна вартість цього договору може бути зменшена за взаємною згодою сторін.</w:t>
            </w:r>
          </w:p>
        </w:tc>
        <w:tc>
          <w:tcPr>
            <w:tcW w:w="7965" w:type="dxa"/>
          </w:tcPr>
          <w:p w14:paraId="7E44D79F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20. Ціною (вартістю)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      </w:r>
          </w:p>
          <w:p w14:paraId="3210F975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Станом на дату укладення цього договору тариф на послугу становить:</w:t>
            </w:r>
          </w:p>
          <w:p w14:paraId="503EB95F" w14:textId="77777777" w:rsidR="00C374FE" w:rsidRPr="00C374FE" w:rsidRDefault="00C374FE" w:rsidP="00C374FE">
            <w:pPr>
              <w:pStyle w:val="a6"/>
              <w:spacing w:before="0"/>
              <w:ind w:left="927" w:firstLine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C3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грн/</w:t>
            </w:r>
            <w:proofErr w:type="spellStart"/>
            <w:r w:rsidRPr="00C3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Гкал</w:t>
            </w:r>
            <w:proofErr w:type="spellEnd"/>
            <w:r w:rsidRPr="00C374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(з ПДВ);</w:t>
            </w:r>
          </w:p>
          <w:p w14:paraId="115A5060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а за умови встановлення </w:t>
            </w:r>
            <w:proofErr w:type="spellStart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двоставкового</w:t>
            </w:r>
            <w:proofErr w:type="spellEnd"/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 тарифу:</w:t>
            </w:r>
          </w:p>
          <w:p w14:paraId="50CA24B4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__-____ гривень за __-____ — умовно-змінна частина тарифу; </w:t>
            </w:r>
          </w:p>
          <w:p w14:paraId="75EEDF36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__-____ гривень за __-____ — умовно-постійна частина тарифу.   </w:t>
            </w:r>
          </w:p>
          <w:p w14:paraId="67F601F1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У разі прийняття уповноваженим органом рішення про зміну ціни/тарифу на зазначену послугу виконавець у строк, що не перевищує  15 днів з дати введення їх у дію, повідомляє про це споживачу з посиланням на рішення відповідних органів. </w:t>
            </w:r>
          </w:p>
          <w:p w14:paraId="63B566F8" w14:textId="2F0BD52E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У разі зміни зазначеного тарифу протягом строку дії цього договору новий розмір тарифу застосовується з моменту його введення в дію. </w:t>
            </w:r>
          </w:p>
          <w:p w14:paraId="413C31ED" w14:textId="2E409F91" w:rsidR="00C374FE" w:rsidRPr="00C374FE" w:rsidRDefault="00C374FE" w:rsidP="00C374FE">
            <w:pPr>
              <w:pStyle w:val="3"/>
              <w:spacing w:after="0"/>
              <w:ind w:left="0" w:firstLine="567"/>
              <w:jc w:val="both"/>
              <w:rPr>
                <w:sz w:val="20"/>
                <w:szCs w:val="20"/>
                <w:lang w:val="uk-UA"/>
              </w:rPr>
            </w:pPr>
            <w:r w:rsidRPr="00C374FE">
              <w:rPr>
                <w:sz w:val="20"/>
                <w:szCs w:val="20"/>
                <w:lang w:val="uk-UA"/>
              </w:rPr>
              <w:t>Сума цього Договору становить __________________грн. (_____________________________), у тому числі ПДВ _________________грн. (________________________), в тому числі:</w:t>
            </w:r>
          </w:p>
          <w:p w14:paraId="3D543846" w14:textId="77777777" w:rsidR="00C374FE" w:rsidRPr="00C374FE" w:rsidRDefault="00C374FE" w:rsidP="00C374FE">
            <w:pPr>
              <w:tabs>
                <w:tab w:val="left" w:pos="993"/>
              </w:tabs>
              <w:ind w:firstLine="562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374FE">
              <w:rPr>
                <w:rFonts w:ascii="Times New Roman" w:hAnsi="Times New Roman"/>
                <w:sz w:val="20"/>
                <w:szCs w:val="20"/>
              </w:rPr>
              <w:t>бюджетні асигнування споживача</w:t>
            </w:r>
            <w:r w:rsidRPr="00C374FE">
              <w:rPr>
                <w:rFonts w:ascii="Times New Roman" w:eastAsia="Arial" w:hAnsi="Times New Roman"/>
                <w:sz w:val="20"/>
                <w:szCs w:val="20"/>
              </w:rPr>
              <w:t xml:space="preserve"> – ___________грн з ПДВ</w:t>
            </w:r>
          </w:p>
          <w:p w14:paraId="62FFB3D6" w14:textId="77777777" w:rsidR="00C374FE" w:rsidRPr="00C374FE" w:rsidRDefault="00C374FE" w:rsidP="00C374FE">
            <w:pPr>
              <w:tabs>
                <w:tab w:val="left" w:pos="993"/>
              </w:tabs>
              <w:ind w:firstLine="562"/>
              <w:jc w:val="both"/>
              <w:rPr>
                <w:rFonts w:ascii="Times New Roman" w:eastAsia="Arial" w:hAnsi="Times New Roman"/>
                <w:sz w:val="20"/>
                <w:szCs w:val="20"/>
              </w:rPr>
            </w:pPr>
            <w:r w:rsidRPr="00C374FE">
              <w:rPr>
                <w:rFonts w:ascii="Times New Roman" w:hAnsi="Times New Roman"/>
                <w:sz w:val="20"/>
                <w:szCs w:val="20"/>
              </w:rPr>
              <w:t>за рахунок відшкодування орендарів</w:t>
            </w:r>
            <w:r w:rsidRPr="00C374FE">
              <w:rPr>
                <w:rFonts w:ascii="Times New Roman" w:eastAsia="Arial" w:hAnsi="Times New Roman"/>
                <w:sz w:val="20"/>
                <w:szCs w:val="20"/>
              </w:rPr>
              <w:t xml:space="preserve"> –________  грн. з ПДВ</w:t>
            </w:r>
          </w:p>
          <w:p w14:paraId="5CA60DEB" w14:textId="77777777" w:rsidR="00C374FE" w:rsidRPr="00C374FE" w:rsidRDefault="00C374FE" w:rsidP="00C374FE">
            <w:pPr>
              <w:pStyle w:val="a6"/>
              <w:widowControl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374FE" w:rsidRPr="00CD39BF" w14:paraId="6D93212E" w14:textId="77777777" w:rsidTr="00FE3506">
        <w:trPr>
          <w:trHeight w:hRule="exact" w:val="1421"/>
        </w:trPr>
        <w:tc>
          <w:tcPr>
            <w:tcW w:w="567" w:type="dxa"/>
          </w:tcPr>
          <w:p w14:paraId="620B55A5" w14:textId="77777777" w:rsidR="00C374FE" w:rsidRDefault="00C374FE" w:rsidP="00A04DAF">
            <w:pPr>
              <w:pStyle w:val="TableParagraph"/>
              <w:ind w:left="10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45F99968" w14:textId="77777777" w:rsidR="00C374FE" w:rsidRPr="00C374FE" w:rsidRDefault="00C374FE" w:rsidP="00C374FE">
            <w:pPr>
              <w:pStyle w:val="a6"/>
              <w:widowControl w:val="0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22.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      </w:r>
          </w:p>
          <w:p w14:paraId="67E189D5" w14:textId="4E3C3870" w:rsidR="00C374FE" w:rsidRPr="00C374FE" w:rsidRDefault="00C374FE" w:rsidP="00C374FE">
            <w:pPr>
              <w:pStyle w:val="a6"/>
              <w:widowControl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 </w:t>
            </w:r>
          </w:p>
        </w:tc>
        <w:tc>
          <w:tcPr>
            <w:tcW w:w="7965" w:type="dxa"/>
          </w:tcPr>
          <w:p w14:paraId="44C33B55" w14:textId="77777777" w:rsidR="00C374FE" w:rsidRPr="00C374FE" w:rsidRDefault="00C374FE" w:rsidP="00C374FE">
            <w:pPr>
              <w:pStyle w:val="a6"/>
              <w:widowControl w:val="0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>22.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      </w:r>
          </w:p>
          <w:p w14:paraId="10C809C4" w14:textId="652B6E88" w:rsidR="00C374FE" w:rsidRPr="00C374FE" w:rsidRDefault="00C374FE" w:rsidP="00C374FE">
            <w:pPr>
              <w:pStyle w:val="a6"/>
              <w:widowControl w:val="0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74FE">
              <w:rPr>
                <w:rFonts w:ascii="Times New Roman" w:hAnsi="Times New Roman" w:cs="Times New Roman"/>
                <w:sz w:val="20"/>
                <w:szCs w:val="20"/>
              </w:rPr>
              <w:t xml:space="preserve">Рахунок та акт наданих послуг надається в електронній формі, у тому числі за допомогою доступу до електронних систем обліку розрахунків споживачів або на вимогу споживача може надаватися на паперовому носії.  </w:t>
            </w:r>
          </w:p>
          <w:p w14:paraId="5271A9FD" w14:textId="77777777" w:rsidR="00C374FE" w:rsidRPr="00C374FE" w:rsidRDefault="00C374FE" w:rsidP="00C374FE">
            <w:pPr>
              <w:pStyle w:val="a6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3506" w:rsidRPr="00CD39BF" w14:paraId="19579B9E" w14:textId="77777777" w:rsidTr="00CD7F0F">
        <w:trPr>
          <w:trHeight w:hRule="exact" w:val="845"/>
        </w:trPr>
        <w:tc>
          <w:tcPr>
            <w:tcW w:w="567" w:type="dxa"/>
          </w:tcPr>
          <w:p w14:paraId="2AD60F1B" w14:textId="77777777" w:rsidR="00FE3506" w:rsidRDefault="00FE3506" w:rsidP="00A04DAF">
            <w:pPr>
              <w:pStyle w:val="TableParagraph"/>
              <w:ind w:left="10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50F9C261" w14:textId="77777777" w:rsidR="00FE3506" w:rsidRPr="00FE3506" w:rsidRDefault="00FE3506" w:rsidP="00FE35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506">
              <w:rPr>
                <w:rFonts w:ascii="Times New Roman" w:hAnsi="Times New Roman"/>
                <w:sz w:val="20"/>
                <w:szCs w:val="20"/>
              </w:rPr>
              <w:t xml:space="preserve">38. Цей Договір діє на період з 01.01.2023 та діє по 31.12.2023 включно, а в частині проведення розрахунків до повного виконання сторонами своїх зобов’язань за Договором. </w:t>
            </w:r>
          </w:p>
          <w:p w14:paraId="710E56FF" w14:textId="77777777" w:rsidR="00FE3506" w:rsidRPr="00C374FE" w:rsidRDefault="00FE3506" w:rsidP="00C374FE">
            <w:pPr>
              <w:pStyle w:val="a6"/>
              <w:widowControl w:val="0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5" w:type="dxa"/>
          </w:tcPr>
          <w:p w14:paraId="0C535E36" w14:textId="656F8511" w:rsidR="00FE3506" w:rsidRPr="00FE3506" w:rsidRDefault="00FE3506" w:rsidP="00FE35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506">
              <w:rPr>
                <w:rFonts w:ascii="Times New Roman" w:hAnsi="Times New Roman"/>
                <w:sz w:val="20"/>
                <w:szCs w:val="20"/>
              </w:rPr>
              <w:t xml:space="preserve">38. Цей Договір діє на період з 01.01.2023 по 31.12.2023 включно, а в частині проведення розрахунків до повного виконання сторонами своїх зобов’язань за Договором. </w:t>
            </w:r>
          </w:p>
          <w:p w14:paraId="4E2C6CD2" w14:textId="77777777" w:rsidR="00FE3506" w:rsidRPr="00C374FE" w:rsidRDefault="00FE3506" w:rsidP="00C374FE">
            <w:pPr>
              <w:pStyle w:val="a6"/>
              <w:widowControl w:val="0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506" w:rsidRPr="00CD39BF" w14:paraId="7233B999" w14:textId="77777777" w:rsidTr="00A03B22">
        <w:trPr>
          <w:trHeight w:hRule="exact" w:val="1140"/>
        </w:trPr>
        <w:tc>
          <w:tcPr>
            <w:tcW w:w="567" w:type="dxa"/>
          </w:tcPr>
          <w:p w14:paraId="1BD7612A" w14:textId="77777777" w:rsidR="00FE3506" w:rsidRPr="00A03B22" w:rsidRDefault="00FE3506" w:rsidP="00A04DAF">
            <w:pPr>
              <w:pStyle w:val="TableParagraph"/>
              <w:ind w:left="10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30B74ED7" w14:textId="1DBC804C" w:rsidR="00FE3506" w:rsidRPr="00A03B22" w:rsidRDefault="00A03B22" w:rsidP="00A03B22">
            <w:pPr>
              <w:pStyle w:val="a6"/>
              <w:spacing w:before="0" w:line="233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43. У разі зміни даних, зазначених у розділі «Реквізити і підписи сторін» цього договору, сторона письмово повідомляє про це іншій стороні у семиденний строк з дати настання змін.</w:t>
            </w:r>
            <w:r w:rsidRPr="00A03B2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965" w:type="dxa"/>
          </w:tcPr>
          <w:p w14:paraId="032AD866" w14:textId="38362E8C" w:rsidR="00A03B22" w:rsidRPr="00A03B22" w:rsidRDefault="00A03B22" w:rsidP="00A03B22">
            <w:pPr>
              <w:pStyle w:val="a6"/>
              <w:spacing w:before="0" w:line="233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  <w:r w:rsidRPr="00A03B22">
              <w:rPr>
                <w:rFonts w:ascii="Times New Roman" w:hAnsi="Times New Roman"/>
                <w:sz w:val="20"/>
                <w:szCs w:val="20"/>
              </w:rPr>
              <w:t>У разі зміни тарифу на теплову енергію з моменту його введення в дію застосовується відповідна нова ціна (вартість) послуги шляхом внесення сторонами додаткових змін до цього договору.</w:t>
            </w:r>
          </w:p>
          <w:p w14:paraId="03586BFF" w14:textId="77777777" w:rsidR="00FE3506" w:rsidRPr="00FE3506" w:rsidRDefault="00FE3506" w:rsidP="00FE350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B22" w:rsidRPr="00CD39BF" w14:paraId="6397EAF1" w14:textId="77777777" w:rsidTr="00A03B22">
        <w:trPr>
          <w:trHeight w:hRule="exact" w:val="1140"/>
        </w:trPr>
        <w:tc>
          <w:tcPr>
            <w:tcW w:w="567" w:type="dxa"/>
          </w:tcPr>
          <w:p w14:paraId="626ABDCF" w14:textId="77777777" w:rsidR="00A03B22" w:rsidRDefault="00A03B22" w:rsidP="00A03B22">
            <w:pPr>
              <w:pStyle w:val="TableParagraph"/>
              <w:ind w:left="109"/>
              <w:rPr>
                <w:sz w:val="20"/>
                <w:szCs w:val="20"/>
                <w:lang w:val="uk-UA"/>
              </w:rPr>
            </w:pPr>
          </w:p>
        </w:tc>
        <w:tc>
          <w:tcPr>
            <w:tcW w:w="7654" w:type="dxa"/>
          </w:tcPr>
          <w:p w14:paraId="340087E4" w14:textId="0148D378" w:rsidR="00A03B22" w:rsidRPr="00A03B22" w:rsidRDefault="00A03B22" w:rsidP="00A03B22">
            <w:pPr>
              <w:pStyle w:val="a6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B22">
              <w:rPr>
                <w:rFonts w:ascii="Times New Roman" w:hAnsi="Times New Roman" w:cs="Times New Roman"/>
                <w:sz w:val="20"/>
                <w:szCs w:val="20"/>
              </w:rPr>
              <w:t xml:space="preserve">44. Цей договір може бути розірвано за згодою сторін. </w:t>
            </w:r>
          </w:p>
        </w:tc>
        <w:tc>
          <w:tcPr>
            <w:tcW w:w="7965" w:type="dxa"/>
          </w:tcPr>
          <w:p w14:paraId="262506EA" w14:textId="2F1E5E87" w:rsidR="00A03B22" w:rsidRPr="00A03B22" w:rsidRDefault="00A03B22" w:rsidP="00A03B22">
            <w:pPr>
              <w:pStyle w:val="a6"/>
              <w:spacing w:before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03B22">
              <w:rPr>
                <w:rFonts w:ascii="Times New Roman" w:hAnsi="Times New Roman" w:cs="Times New Roman"/>
                <w:sz w:val="20"/>
                <w:szCs w:val="20"/>
              </w:rPr>
              <w:t>44. У разі зміни даних, зазначених у розділі «Реквізити і підписи сторін» цього договору, сторона письмово повідомляє про це іншій стороні у семиденний строк з дати настання змін.</w:t>
            </w:r>
          </w:p>
          <w:p w14:paraId="1369F991" w14:textId="77777777" w:rsidR="00A03B22" w:rsidRDefault="00A03B22" w:rsidP="00A03B22">
            <w:pPr>
              <w:pStyle w:val="a6"/>
              <w:spacing w:before="0" w:line="233" w:lineRule="auto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51AEAD" w14:textId="71F45AF2" w:rsidR="00900533" w:rsidRDefault="00900533" w:rsidP="00251054">
      <w:pPr>
        <w:spacing w:after="100" w:afterAutospacing="1"/>
        <w:jc w:val="center"/>
        <w:rPr>
          <w:rFonts w:ascii="Times New Roman" w:hAnsi="Times New Roman"/>
          <w:sz w:val="24"/>
          <w:szCs w:val="24"/>
        </w:rPr>
      </w:pPr>
    </w:p>
    <w:sectPr w:rsidR="00900533" w:rsidSect="00F13B29">
      <w:pgSz w:w="16820" w:h="11900" w:orient="landscape"/>
      <w:pgMar w:top="480" w:right="280" w:bottom="300" w:left="0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726"/>
    <w:multiLevelType w:val="hybridMultilevel"/>
    <w:tmpl w:val="F6106544"/>
    <w:lvl w:ilvl="0" w:tplc="3EA81FC4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25B868D4"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E36087FA"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F3A8FF04">
      <w:numFmt w:val="bullet"/>
      <w:lvlText w:val="•"/>
      <w:lvlJc w:val="left"/>
      <w:pPr>
        <w:ind w:left="1604" w:hanging="360"/>
      </w:pPr>
      <w:rPr>
        <w:rFonts w:hint="default"/>
      </w:rPr>
    </w:lvl>
    <w:lvl w:ilvl="4" w:tplc="F8462E96">
      <w:numFmt w:val="bullet"/>
      <w:lvlText w:val="•"/>
      <w:lvlJc w:val="left"/>
      <w:pPr>
        <w:ind w:left="1978" w:hanging="360"/>
      </w:pPr>
      <w:rPr>
        <w:rFonts w:hint="default"/>
      </w:rPr>
    </w:lvl>
    <w:lvl w:ilvl="5" w:tplc="A00C8FDC">
      <w:numFmt w:val="bullet"/>
      <w:lvlText w:val="•"/>
      <w:lvlJc w:val="left"/>
      <w:pPr>
        <w:ind w:left="2353" w:hanging="360"/>
      </w:pPr>
      <w:rPr>
        <w:rFonts w:hint="default"/>
      </w:rPr>
    </w:lvl>
    <w:lvl w:ilvl="6" w:tplc="555E4F9C">
      <w:numFmt w:val="bullet"/>
      <w:lvlText w:val="•"/>
      <w:lvlJc w:val="left"/>
      <w:pPr>
        <w:ind w:left="2728" w:hanging="360"/>
      </w:pPr>
      <w:rPr>
        <w:rFonts w:hint="default"/>
      </w:rPr>
    </w:lvl>
    <w:lvl w:ilvl="7" w:tplc="9072E5F8">
      <w:numFmt w:val="bullet"/>
      <w:lvlText w:val="•"/>
      <w:lvlJc w:val="left"/>
      <w:pPr>
        <w:ind w:left="3102" w:hanging="360"/>
      </w:pPr>
      <w:rPr>
        <w:rFonts w:hint="default"/>
      </w:rPr>
    </w:lvl>
    <w:lvl w:ilvl="8" w:tplc="0ABC3F58">
      <w:numFmt w:val="bullet"/>
      <w:lvlText w:val="•"/>
      <w:lvlJc w:val="left"/>
      <w:pPr>
        <w:ind w:left="3477" w:hanging="360"/>
      </w:pPr>
      <w:rPr>
        <w:rFonts w:hint="default"/>
      </w:rPr>
    </w:lvl>
  </w:abstractNum>
  <w:abstractNum w:abstractNumId="1" w15:restartNumberingAfterBreak="0">
    <w:nsid w:val="31CF17D9"/>
    <w:multiLevelType w:val="hybridMultilevel"/>
    <w:tmpl w:val="48DEFA28"/>
    <w:lvl w:ilvl="0" w:tplc="8BAE2CC0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hint="default"/>
        <w:w w:val="100"/>
        <w:sz w:val="22"/>
      </w:rPr>
    </w:lvl>
    <w:lvl w:ilvl="1" w:tplc="3D2AC9A4">
      <w:numFmt w:val="bullet"/>
      <w:lvlText w:val="•"/>
      <w:lvlJc w:val="left"/>
      <w:pPr>
        <w:ind w:left="530" w:hanging="129"/>
      </w:pPr>
      <w:rPr>
        <w:rFonts w:hint="default"/>
      </w:rPr>
    </w:lvl>
    <w:lvl w:ilvl="2" w:tplc="2EDAE8EC">
      <w:numFmt w:val="bullet"/>
      <w:lvlText w:val="•"/>
      <w:lvlJc w:val="left"/>
      <w:pPr>
        <w:ind w:left="941" w:hanging="129"/>
      </w:pPr>
      <w:rPr>
        <w:rFonts w:hint="default"/>
      </w:rPr>
    </w:lvl>
    <w:lvl w:ilvl="3" w:tplc="6D889ADA">
      <w:numFmt w:val="bullet"/>
      <w:lvlText w:val="•"/>
      <w:lvlJc w:val="left"/>
      <w:pPr>
        <w:ind w:left="1352" w:hanging="129"/>
      </w:pPr>
      <w:rPr>
        <w:rFonts w:hint="default"/>
      </w:rPr>
    </w:lvl>
    <w:lvl w:ilvl="4" w:tplc="20B2B298">
      <w:numFmt w:val="bullet"/>
      <w:lvlText w:val="•"/>
      <w:lvlJc w:val="left"/>
      <w:pPr>
        <w:ind w:left="1762" w:hanging="129"/>
      </w:pPr>
      <w:rPr>
        <w:rFonts w:hint="default"/>
      </w:rPr>
    </w:lvl>
    <w:lvl w:ilvl="5" w:tplc="DF08E428">
      <w:numFmt w:val="bullet"/>
      <w:lvlText w:val="•"/>
      <w:lvlJc w:val="left"/>
      <w:pPr>
        <w:ind w:left="2173" w:hanging="129"/>
      </w:pPr>
      <w:rPr>
        <w:rFonts w:hint="default"/>
      </w:rPr>
    </w:lvl>
    <w:lvl w:ilvl="6" w:tplc="65A4C2B4">
      <w:numFmt w:val="bullet"/>
      <w:lvlText w:val="•"/>
      <w:lvlJc w:val="left"/>
      <w:pPr>
        <w:ind w:left="2584" w:hanging="129"/>
      </w:pPr>
      <w:rPr>
        <w:rFonts w:hint="default"/>
      </w:rPr>
    </w:lvl>
    <w:lvl w:ilvl="7" w:tplc="F7A2A3AC">
      <w:numFmt w:val="bullet"/>
      <w:lvlText w:val="•"/>
      <w:lvlJc w:val="left"/>
      <w:pPr>
        <w:ind w:left="2994" w:hanging="129"/>
      </w:pPr>
      <w:rPr>
        <w:rFonts w:hint="default"/>
      </w:rPr>
    </w:lvl>
    <w:lvl w:ilvl="8" w:tplc="795A093E">
      <w:numFmt w:val="bullet"/>
      <w:lvlText w:val="•"/>
      <w:lvlJc w:val="left"/>
      <w:pPr>
        <w:ind w:left="3405" w:hanging="129"/>
      </w:pPr>
      <w:rPr>
        <w:rFonts w:hint="default"/>
      </w:rPr>
    </w:lvl>
  </w:abstractNum>
  <w:abstractNum w:abstractNumId="2" w15:restartNumberingAfterBreak="0">
    <w:nsid w:val="3364349B"/>
    <w:multiLevelType w:val="hybridMultilevel"/>
    <w:tmpl w:val="B248E54A"/>
    <w:lvl w:ilvl="0" w:tplc="0152F2F6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hint="default"/>
        <w:w w:val="100"/>
        <w:sz w:val="22"/>
      </w:rPr>
    </w:lvl>
    <w:lvl w:ilvl="1" w:tplc="5FFA5338">
      <w:numFmt w:val="bullet"/>
      <w:lvlText w:val="•"/>
      <w:lvlJc w:val="left"/>
      <w:pPr>
        <w:ind w:left="530" w:hanging="129"/>
      </w:pPr>
      <w:rPr>
        <w:rFonts w:hint="default"/>
      </w:rPr>
    </w:lvl>
    <w:lvl w:ilvl="2" w:tplc="E132D8F6">
      <w:numFmt w:val="bullet"/>
      <w:lvlText w:val="•"/>
      <w:lvlJc w:val="left"/>
      <w:pPr>
        <w:ind w:left="941" w:hanging="129"/>
      </w:pPr>
      <w:rPr>
        <w:rFonts w:hint="default"/>
      </w:rPr>
    </w:lvl>
    <w:lvl w:ilvl="3" w:tplc="D520B4D6">
      <w:numFmt w:val="bullet"/>
      <w:lvlText w:val="•"/>
      <w:lvlJc w:val="left"/>
      <w:pPr>
        <w:ind w:left="1352" w:hanging="129"/>
      </w:pPr>
      <w:rPr>
        <w:rFonts w:hint="default"/>
      </w:rPr>
    </w:lvl>
    <w:lvl w:ilvl="4" w:tplc="EBAE059A">
      <w:numFmt w:val="bullet"/>
      <w:lvlText w:val="•"/>
      <w:lvlJc w:val="left"/>
      <w:pPr>
        <w:ind w:left="1762" w:hanging="129"/>
      </w:pPr>
      <w:rPr>
        <w:rFonts w:hint="default"/>
      </w:rPr>
    </w:lvl>
    <w:lvl w:ilvl="5" w:tplc="30A487B8">
      <w:numFmt w:val="bullet"/>
      <w:lvlText w:val="•"/>
      <w:lvlJc w:val="left"/>
      <w:pPr>
        <w:ind w:left="2173" w:hanging="129"/>
      </w:pPr>
      <w:rPr>
        <w:rFonts w:hint="default"/>
      </w:rPr>
    </w:lvl>
    <w:lvl w:ilvl="6" w:tplc="0A20D4F2">
      <w:numFmt w:val="bullet"/>
      <w:lvlText w:val="•"/>
      <w:lvlJc w:val="left"/>
      <w:pPr>
        <w:ind w:left="2584" w:hanging="129"/>
      </w:pPr>
      <w:rPr>
        <w:rFonts w:hint="default"/>
      </w:rPr>
    </w:lvl>
    <w:lvl w:ilvl="7" w:tplc="F8FEB0E8">
      <w:numFmt w:val="bullet"/>
      <w:lvlText w:val="•"/>
      <w:lvlJc w:val="left"/>
      <w:pPr>
        <w:ind w:left="2994" w:hanging="129"/>
      </w:pPr>
      <w:rPr>
        <w:rFonts w:hint="default"/>
      </w:rPr>
    </w:lvl>
    <w:lvl w:ilvl="8" w:tplc="5C9C1FDA">
      <w:numFmt w:val="bullet"/>
      <w:lvlText w:val="•"/>
      <w:lvlJc w:val="left"/>
      <w:pPr>
        <w:ind w:left="3405" w:hanging="129"/>
      </w:pPr>
      <w:rPr>
        <w:rFonts w:hint="default"/>
      </w:rPr>
    </w:lvl>
  </w:abstractNum>
  <w:abstractNum w:abstractNumId="3" w15:restartNumberingAfterBreak="0">
    <w:nsid w:val="407508D6"/>
    <w:multiLevelType w:val="hybridMultilevel"/>
    <w:tmpl w:val="47F62D80"/>
    <w:lvl w:ilvl="0" w:tplc="FA36AC28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hint="default"/>
        <w:w w:val="100"/>
        <w:sz w:val="22"/>
      </w:rPr>
    </w:lvl>
    <w:lvl w:ilvl="1" w:tplc="2812B854">
      <w:numFmt w:val="bullet"/>
      <w:lvlText w:val="•"/>
      <w:lvlJc w:val="left"/>
      <w:pPr>
        <w:ind w:left="530" w:hanging="129"/>
      </w:pPr>
      <w:rPr>
        <w:rFonts w:hint="default"/>
      </w:rPr>
    </w:lvl>
    <w:lvl w:ilvl="2" w:tplc="F014F000">
      <w:numFmt w:val="bullet"/>
      <w:lvlText w:val="•"/>
      <w:lvlJc w:val="left"/>
      <w:pPr>
        <w:ind w:left="941" w:hanging="129"/>
      </w:pPr>
      <w:rPr>
        <w:rFonts w:hint="default"/>
      </w:rPr>
    </w:lvl>
    <w:lvl w:ilvl="3" w:tplc="F470EF6C">
      <w:numFmt w:val="bullet"/>
      <w:lvlText w:val="•"/>
      <w:lvlJc w:val="left"/>
      <w:pPr>
        <w:ind w:left="1352" w:hanging="129"/>
      </w:pPr>
      <w:rPr>
        <w:rFonts w:hint="default"/>
      </w:rPr>
    </w:lvl>
    <w:lvl w:ilvl="4" w:tplc="A9EAE72E">
      <w:numFmt w:val="bullet"/>
      <w:lvlText w:val="•"/>
      <w:lvlJc w:val="left"/>
      <w:pPr>
        <w:ind w:left="1762" w:hanging="129"/>
      </w:pPr>
      <w:rPr>
        <w:rFonts w:hint="default"/>
      </w:rPr>
    </w:lvl>
    <w:lvl w:ilvl="5" w:tplc="66CE7D7C">
      <w:numFmt w:val="bullet"/>
      <w:lvlText w:val="•"/>
      <w:lvlJc w:val="left"/>
      <w:pPr>
        <w:ind w:left="2173" w:hanging="129"/>
      </w:pPr>
      <w:rPr>
        <w:rFonts w:hint="default"/>
      </w:rPr>
    </w:lvl>
    <w:lvl w:ilvl="6" w:tplc="7E88B604">
      <w:numFmt w:val="bullet"/>
      <w:lvlText w:val="•"/>
      <w:lvlJc w:val="left"/>
      <w:pPr>
        <w:ind w:left="2584" w:hanging="129"/>
      </w:pPr>
      <w:rPr>
        <w:rFonts w:hint="default"/>
      </w:rPr>
    </w:lvl>
    <w:lvl w:ilvl="7" w:tplc="641CDA90">
      <w:numFmt w:val="bullet"/>
      <w:lvlText w:val="•"/>
      <w:lvlJc w:val="left"/>
      <w:pPr>
        <w:ind w:left="2994" w:hanging="129"/>
      </w:pPr>
      <w:rPr>
        <w:rFonts w:hint="default"/>
      </w:rPr>
    </w:lvl>
    <w:lvl w:ilvl="8" w:tplc="889C3A3E">
      <w:numFmt w:val="bullet"/>
      <w:lvlText w:val="•"/>
      <w:lvlJc w:val="left"/>
      <w:pPr>
        <w:ind w:left="3405" w:hanging="129"/>
      </w:pPr>
      <w:rPr>
        <w:rFonts w:hint="default"/>
      </w:rPr>
    </w:lvl>
  </w:abstractNum>
  <w:abstractNum w:abstractNumId="4" w15:restartNumberingAfterBreak="0">
    <w:nsid w:val="6C652A00"/>
    <w:multiLevelType w:val="hybridMultilevel"/>
    <w:tmpl w:val="D8FE1C20"/>
    <w:lvl w:ilvl="0" w:tplc="6100B76C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hint="default"/>
        <w:w w:val="100"/>
        <w:sz w:val="22"/>
      </w:rPr>
    </w:lvl>
    <w:lvl w:ilvl="1" w:tplc="22FA265A">
      <w:numFmt w:val="bullet"/>
      <w:lvlText w:val="•"/>
      <w:lvlJc w:val="left"/>
      <w:pPr>
        <w:ind w:left="530" w:hanging="142"/>
      </w:pPr>
      <w:rPr>
        <w:rFonts w:hint="default"/>
      </w:rPr>
    </w:lvl>
    <w:lvl w:ilvl="2" w:tplc="A0B009C2">
      <w:numFmt w:val="bullet"/>
      <w:lvlText w:val="•"/>
      <w:lvlJc w:val="left"/>
      <w:pPr>
        <w:ind w:left="941" w:hanging="142"/>
      </w:pPr>
      <w:rPr>
        <w:rFonts w:hint="default"/>
      </w:rPr>
    </w:lvl>
    <w:lvl w:ilvl="3" w:tplc="9E326E82">
      <w:numFmt w:val="bullet"/>
      <w:lvlText w:val="•"/>
      <w:lvlJc w:val="left"/>
      <w:pPr>
        <w:ind w:left="1352" w:hanging="142"/>
      </w:pPr>
      <w:rPr>
        <w:rFonts w:hint="default"/>
      </w:rPr>
    </w:lvl>
    <w:lvl w:ilvl="4" w:tplc="09321652">
      <w:numFmt w:val="bullet"/>
      <w:lvlText w:val="•"/>
      <w:lvlJc w:val="left"/>
      <w:pPr>
        <w:ind w:left="1762" w:hanging="142"/>
      </w:pPr>
      <w:rPr>
        <w:rFonts w:hint="default"/>
      </w:rPr>
    </w:lvl>
    <w:lvl w:ilvl="5" w:tplc="C426767C">
      <w:numFmt w:val="bullet"/>
      <w:lvlText w:val="•"/>
      <w:lvlJc w:val="left"/>
      <w:pPr>
        <w:ind w:left="2173" w:hanging="142"/>
      </w:pPr>
      <w:rPr>
        <w:rFonts w:hint="default"/>
      </w:rPr>
    </w:lvl>
    <w:lvl w:ilvl="6" w:tplc="F1F86C8A">
      <w:numFmt w:val="bullet"/>
      <w:lvlText w:val="•"/>
      <w:lvlJc w:val="left"/>
      <w:pPr>
        <w:ind w:left="2584" w:hanging="142"/>
      </w:pPr>
      <w:rPr>
        <w:rFonts w:hint="default"/>
      </w:rPr>
    </w:lvl>
    <w:lvl w:ilvl="7" w:tplc="5972FEB2">
      <w:numFmt w:val="bullet"/>
      <w:lvlText w:val="•"/>
      <w:lvlJc w:val="left"/>
      <w:pPr>
        <w:ind w:left="2994" w:hanging="142"/>
      </w:pPr>
      <w:rPr>
        <w:rFonts w:hint="default"/>
      </w:rPr>
    </w:lvl>
    <w:lvl w:ilvl="8" w:tplc="9E2C91EA">
      <w:numFmt w:val="bullet"/>
      <w:lvlText w:val="•"/>
      <w:lvlJc w:val="left"/>
      <w:pPr>
        <w:ind w:left="3405" w:hanging="142"/>
      </w:pPr>
      <w:rPr>
        <w:rFonts w:hint="default"/>
      </w:rPr>
    </w:lvl>
  </w:abstractNum>
  <w:abstractNum w:abstractNumId="5" w15:restartNumberingAfterBreak="0">
    <w:nsid w:val="703204CC"/>
    <w:multiLevelType w:val="hybridMultilevel"/>
    <w:tmpl w:val="7AD48F24"/>
    <w:lvl w:ilvl="0" w:tplc="DB28198A">
      <w:numFmt w:val="bullet"/>
      <w:lvlText w:val="-"/>
      <w:lvlJc w:val="left"/>
      <w:pPr>
        <w:ind w:left="110" w:hanging="129"/>
      </w:pPr>
      <w:rPr>
        <w:rFonts w:ascii="Times New Roman" w:eastAsia="Times New Roman" w:hAnsi="Times New Roman" w:hint="default"/>
        <w:w w:val="100"/>
        <w:sz w:val="22"/>
      </w:rPr>
    </w:lvl>
    <w:lvl w:ilvl="1" w:tplc="0876FB0E">
      <w:numFmt w:val="bullet"/>
      <w:lvlText w:val="•"/>
      <w:lvlJc w:val="left"/>
      <w:pPr>
        <w:ind w:left="530" w:hanging="129"/>
      </w:pPr>
      <w:rPr>
        <w:rFonts w:hint="default"/>
      </w:rPr>
    </w:lvl>
    <w:lvl w:ilvl="2" w:tplc="D36EB31C">
      <w:numFmt w:val="bullet"/>
      <w:lvlText w:val="•"/>
      <w:lvlJc w:val="left"/>
      <w:pPr>
        <w:ind w:left="941" w:hanging="129"/>
      </w:pPr>
      <w:rPr>
        <w:rFonts w:hint="default"/>
      </w:rPr>
    </w:lvl>
    <w:lvl w:ilvl="3" w:tplc="E28A46F2">
      <w:numFmt w:val="bullet"/>
      <w:lvlText w:val="•"/>
      <w:lvlJc w:val="left"/>
      <w:pPr>
        <w:ind w:left="1352" w:hanging="129"/>
      </w:pPr>
      <w:rPr>
        <w:rFonts w:hint="default"/>
      </w:rPr>
    </w:lvl>
    <w:lvl w:ilvl="4" w:tplc="360E1504">
      <w:numFmt w:val="bullet"/>
      <w:lvlText w:val="•"/>
      <w:lvlJc w:val="left"/>
      <w:pPr>
        <w:ind w:left="1762" w:hanging="129"/>
      </w:pPr>
      <w:rPr>
        <w:rFonts w:hint="default"/>
      </w:rPr>
    </w:lvl>
    <w:lvl w:ilvl="5" w:tplc="AA109CD2">
      <w:numFmt w:val="bullet"/>
      <w:lvlText w:val="•"/>
      <w:lvlJc w:val="left"/>
      <w:pPr>
        <w:ind w:left="2173" w:hanging="129"/>
      </w:pPr>
      <w:rPr>
        <w:rFonts w:hint="default"/>
      </w:rPr>
    </w:lvl>
    <w:lvl w:ilvl="6" w:tplc="9F2495F2">
      <w:numFmt w:val="bullet"/>
      <w:lvlText w:val="•"/>
      <w:lvlJc w:val="left"/>
      <w:pPr>
        <w:ind w:left="2584" w:hanging="129"/>
      </w:pPr>
      <w:rPr>
        <w:rFonts w:hint="default"/>
      </w:rPr>
    </w:lvl>
    <w:lvl w:ilvl="7" w:tplc="EF5C53DA">
      <w:numFmt w:val="bullet"/>
      <w:lvlText w:val="•"/>
      <w:lvlJc w:val="left"/>
      <w:pPr>
        <w:ind w:left="2994" w:hanging="129"/>
      </w:pPr>
      <w:rPr>
        <w:rFonts w:hint="default"/>
      </w:rPr>
    </w:lvl>
    <w:lvl w:ilvl="8" w:tplc="5D4ED1E2">
      <w:numFmt w:val="bullet"/>
      <w:lvlText w:val="•"/>
      <w:lvlJc w:val="left"/>
      <w:pPr>
        <w:ind w:left="3405" w:hanging="12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1B"/>
    <w:rsid w:val="000103CA"/>
    <w:rsid w:val="00042125"/>
    <w:rsid w:val="00060DE5"/>
    <w:rsid w:val="000C66D3"/>
    <w:rsid w:val="00116DF1"/>
    <w:rsid w:val="0013349A"/>
    <w:rsid w:val="00135C34"/>
    <w:rsid w:val="001624B8"/>
    <w:rsid w:val="001C7929"/>
    <w:rsid w:val="00251054"/>
    <w:rsid w:val="00253211"/>
    <w:rsid w:val="002568CC"/>
    <w:rsid w:val="0025796A"/>
    <w:rsid w:val="002942D3"/>
    <w:rsid w:val="002D0FE0"/>
    <w:rsid w:val="002E4CA3"/>
    <w:rsid w:val="002E5261"/>
    <w:rsid w:val="003776C4"/>
    <w:rsid w:val="003A2618"/>
    <w:rsid w:val="003B5E8C"/>
    <w:rsid w:val="003C7F7A"/>
    <w:rsid w:val="003E15AA"/>
    <w:rsid w:val="00416746"/>
    <w:rsid w:val="00421A1B"/>
    <w:rsid w:val="0044401B"/>
    <w:rsid w:val="004677A6"/>
    <w:rsid w:val="00490041"/>
    <w:rsid w:val="004B71EE"/>
    <w:rsid w:val="0051177F"/>
    <w:rsid w:val="005325FC"/>
    <w:rsid w:val="00537B1E"/>
    <w:rsid w:val="00547EF4"/>
    <w:rsid w:val="00593A69"/>
    <w:rsid w:val="0063509C"/>
    <w:rsid w:val="00663A28"/>
    <w:rsid w:val="00681422"/>
    <w:rsid w:val="006B6A15"/>
    <w:rsid w:val="006C7D62"/>
    <w:rsid w:val="006E4B5A"/>
    <w:rsid w:val="00721EDE"/>
    <w:rsid w:val="00727458"/>
    <w:rsid w:val="00751D3A"/>
    <w:rsid w:val="00772C14"/>
    <w:rsid w:val="007E2E20"/>
    <w:rsid w:val="007F0AA6"/>
    <w:rsid w:val="00861D66"/>
    <w:rsid w:val="008A03AB"/>
    <w:rsid w:val="008C20AD"/>
    <w:rsid w:val="00900533"/>
    <w:rsid w:val="00914579"/>
    <w:rsid w:val="009207AC"/>
    <w:rsid w:val="00924132"/>
    <w:rsid w:val="009B7DF1"/>
    <w:rsid w:val="009E2BAF"/>
    <w:rsid w:val="00A03B22"/>
    <w:rsid w:val="00A04DAF"/>
    <w:rsid w:val="00A723BB"/>
    <w:rsid w:val="00A861CE"/>
    <w:rsid w:val="00AB5CA9"/>
    <w:rsid w:val="00AD181B"/>
    <w:rsid w:val="00AD38C3"/>
    <w:rsid w:val="00AF5080"/>
    <w:rsid w:val="00B02245"/>
    <w:rsid w:val="00B03CC8"/>
    <w:rsid w:val="00B550CA"/>
    <w:rsid w:val="00BA12B5"/>
    <w:rsid w:val="00BA45D6"/>
    <w:rsid w:val="00BC2C99"/>
    <w:rsid w:val="00C13507"/>
    <w:rsid w:val="00C37181"/>
    <w:rsid w:val="00C374FE"/>
    <w:rsid w:val="00C46CD5"/>
    <w:rsid w:val="00CD39BF"/>
    <w:rsid w:val="00CD7F0F"/>
    <w:rsid w:val="00D6180F"/>
    <w:rsid w:val="00D6705B"/>
    <w:rsid w:val="00DA1B75"/>
    <w:rsid w:val="00DD4071"/>
    <w:rsid w:val="00E46700"/>
    <w:rsid w:val="00E716C2"/>
    <w:rsid w:val="00E85FDD"/>
    <w:rsid w:val="00E93B4E"/>
    <w:rsid w:val="00EA20CC"/>
    <w:rsid w:val="00F023EE"/>
    <w:rsid w:val="00F13B29"/>
    <w:rsid w:val="00F15BFB"/>
    <w:rsid w:val="00F24262"/>
    <w:rsid w:val="00F417F6"/>
    <w:rsid w:val="00F42456"/>
    <w:rsid w:val="00F50616"/>
    <w:rsid w:val="00F72F6B"/>
    <w:rsid w:val="00FE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43487"/>
  <w15:docId w15:val="{C12BD6C3-F953-4D83-8F18-CA6024E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EE"/>
    <w:pPr>
      <w:spacing w:after="200" w:line="276" w:lineRule="auto"/>
    </w:pPr>
    <w:rPr>
      <w:lang w:val="uk-UA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374FE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10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99"/>
    <w:rsid w:val="00CD39BF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en-US"/>
    </w:rPr>
  </w:style>
  <w:style w:type="paragraph" w:styleId="a4">
    <w:name w:val="Balloon Text"/>
    <w:basedOn w:val="a"/>
    <w:link w:val="a5"/>
    <w:uiPriority w:val="99"/>
    <w:semiHidden/>
    <w:rsid w:val="003C7F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imes New Roman" w:hAnsi="Times New Roman" w:cs="Times New Roman"/>
      <w:sz w:val="2"/>
      <w:lang w:val="uk-UA" w:eastAsia="en-US"/>
    </w:rPr>
  </w:style>
  <w:style w:type="paragraph" w:customStyle="1" w:styleId="a6">
    <w:name w:val="Нормальний текст"/>
    <w:basedOn w:val="a"/>
    <w:uiPriority w:val="99"/>
    <w:rsid w:val="00F417F6"/>
    <w:pPr>
      <w:spacing w:before="120" w:after="0" w:line="240" w:lineRule="auto"/>
      <w:ind w:firstLine="567"/>
    </w:pPr>
    <w:rPr>
      <w:rFonts w:ascii="Antiqua" w:eastAsia="SimSun" w:hAnsi="Antiqua" w:cs="Antiqua"/>
      <w:sz w:val="26"/>
      <w:szCs w:val="26"/>
      <w:lang w:eastAsia="ru-RU"/>
    </w:rPr>
  </w:style>
  <w:style w:type="paragraph" w:customStyle="1" w:styleId="a7">
    <w:name w:val="Назва документа"/>
    <w:basedOn w:val="a"/>
    <w:next w:val="a6"/>
    <w:rsid w:val="0063509C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374FE"/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C374F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C374FE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2022-11-21T08:50:00Z</cp:lastPrinted>
  <dcterms:created xsi:type="dcterms:W3CDTF">2022-12-05T20:43:00Z</dcterms:created>
  <dcterms:modified xsi:type="dcterms:W3CDTF">2022-12-05T20:43:00Z</dcterms:modified>
</cp:coreProperties>
</file>