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B1" w:rsidRDefault="007A5AB1" w:rsidP="007A5AB1">
      <w:pPr>
        <w:jc w:val="right"/>
        <w:rPr>
          <w:b/>
          <w:noProof/>
        </w:rPr>
      </w:pPr>
      <w:bookmarkStart w:id="0" w:name="_GoBack"/>
      <w:bookmarkEnd w:id="0"/>
      <w:r>
        <w:rPr>
          <w:b/>
          <w:noProof/>
        </w:rPr>
        <w:t>Додаток 1</w:t>
      </w:r>
    </w:p>
    <w:p w:rsidR="007A5AB1" w:rsidRDefault="007A5AB1" w:rsidP="007A5AB1">
      <w:pPr>
        <w:jc w:val="right"/>
        <w:rPr>
          <w:b/>
          <w:noProof/>
        </w:rPr>
      </w:pPr>
      <w:r>
        <w:rPr>
          <w:b/>
          <w:noProof/>
        </w:rPr>
        <w:t>до тендерної документації</w:t>
      </w:r>
    </w:p>
    <w:p w:rsidR="007A5AB1" w:rsidRDefault="007A5AB1" w:rsidP="007A5AB1">
      <w:pPr>
        <w:jc w:val="right"/>
        <w:rPr>
          <w:b/>
          <w:bCs/>
        </w:rPr>
      </w:pPr>
      <w:r>
        <w:rPr>
          <w:b/>
          <w:bCs/>
        </w:rPr>
        <w:t xml:space="preserve"> </w:t>
      </w:r>
    </w:p>
    <w:p w:rsidR="007A5AB1" w:rsidRDefault="007A5AB1" w:rsidP="007A5AB1">
      <w:pPr>
        <w:jc w:val="right"/>
        <w:rPr>
          <w:b/>
          <w:bCs/>
        </w:rPr>
      </w:pPr>
    </w:p>
    <w:p w:rsidR="007A5AB1" w:rsidRDefault="007A5AB1" w:rsidP="007A5AB1">
      <w:pPr>
        <w:jc w:val="right"/>
        <w:rPr>
          <w:b/>
          <w:bCs/>
        </w:rPr>
      </w:pPr>
      <w:r>
        <w:rPr>
          <w:b/>
          <w:bCs/>
        </w:rPr>
        <w:t>ПЕРЕЛІК ДОКУМЕНТІВ ДЛЯ ПІДТВЕРДЖЕННЯ ВІДПОВІДНОСТІ УЧАСНИКА КВАЛІФІКАЦІЙНИМ КРИТЕРІЯМ ТА ІНШИМ ВИМОГАМ ЗАМОВНИКА</w:t>
      </w:r>
    </w:p>
    <w:p w:rsidR="007A5AB1" w:rsidRDefault="007A5AB1" w:rsidP="007A5AB1">
      <w:pPr>
        <w:jc w:val="right"/>
        <w:rPr>
          <w:b/>
          <w:bCs/>
        </w:rPr>
      </w:pPr>
    </w:p>
    <w:tbl>
      <w:tblPr>
        <w:tblW w:w="96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
        <w:gridCol w:w="4418"/>
        <w:gridCol w:w="4384"/>
      </w:tblGrid>
      <w:tr w:rsidR="007A5AB1" w:rsidTr="00AF2D09">
        <w:trPr>
          <w:trHeight w:val="46"/>
        </w:trPr>
        <w:tc>
          <w:tcPr>
            <w:tcW w:w="9629" w:type="dxa"/>
            <w:gridSpan w:val="3"/>
            <w:tcBorders>
              <w:top w:val="single" w:sz="4" w:space="0" w:color="000000"/>
              <w:left w:val="single" w:sz="4" w:space="0" w:color="000000"/>
              <w:bottom w:val="single" w:sz="4" w:space="0" w:color="000000"/>
              <w:right w:val="single" w:sz="4" w:space="0" w:color="000000"/>
            </w:tcBorders>
            <w:hideMark/>
          </w:tcPr>
          <w:p w:rsidR="007A5AB1" w:rsidRDefault="007A5AB1" w:rsidP="00AF2D09">
            <w:pPr>
              <w:autoSpaceDE w:val="0"/>
              <w:autoSpaceDN w:val="0"/>
              <w:adjustRightInd w:val="0"/>
              <w:jc w:val="center"/>
              <w:rPr>
                <w:b/>
              </w:rPr>
            </w:pPr>
            <w:r>
              <w:rPr>
                <w:b/>
              </w:rPr>
              <w:t>І. Документи, що надаються для підтвердження відповідності Учасника кваліфікаційним критеріям</w:t>
            </w:r>
          </w:p>
        </w:tc>
      </w:tr>
      <w:tr w:rsidR="007A5AB1" w:rsidTr="00AF2D09">
        <w:trPr>
          <w:trHeight w:val="47"/>
        </w:trPr>
        <w:tc>
          <w:tcPr>
            <w:tcW w:w="82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autoSpaceDE w:val="0"/>
              <w:autoSpaceDN w:val="0"/>
              <w:adjustRightInd w:val="0"/>
            </w:pPr>
            <w:r>
              <w:t>№ з/п</w:t>
            </w:r>
          </w:p>
        </w:tc>
        <w:tc>
          <w:tcPr>
            <w:tcW w:w="4418"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autoSpaceDE w:val="0"/>
              <w:autoSpaceDN w:val="0"/>
              <w:adjustRightInd w:val="0"/>
            </w:pPr>
            <w:r>
              <w:t xml:space="preserve">               Кваліфікаційні критерії</w:t>
            </w:r>
          </w:p>
        </w:tc>
        <w:tc>
          <w:tcPr>
            <w:tcW w:w="4384"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autoSpaceDE w:val="0"/>
              <w:autoSpaceDN w:val="0"/>
              <w:adjustRightInd w:val="0"/>
              <w:jc w:val="center"/>
            </w:pPr>
            <w:r>
              <w:t>Перелік документів</w:t>
            </w:r>
          </w:p>
        </w:tc>
      </w:tr>
      <w:tr w:rsidR="007A5AB1" w:rsidTr="00AF2D09">
        <w:trPr>
          <w:trHeight w:val="5602"/>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5AB1" w:rsidRDefault="007A5AB1" w:rsidP="00AF2D09">
            <w:pPr>
              <w:autoSpaceDE w:val="0"/>
              <w:autoSpaceDN w:val="0"/>
              <w:adjustRightInd w:val="0"/>
            </w:pPr>
            <w:r>
              <w:t>1</w:t>
            </w: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p w:rsidR="007A5AB1" w:rsidRDefault="007A5AB1" w:rsidP="00AF2D09">
            <w:pPr>
              <w:autoSpaceDE w:val="0"/>
              <w:autoSpaceDN w:val="0"/>
              <w:adjustRightInd w:val="0"/>
            </w:pP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5AB1" w:rsidRDefault="007A5AB1" w:rsidP="00AF2D09">
            <w:pPr>
              <w:autoSpaceDE w:val="0"/>
              <w:autoSpaceDN w:val="0"/>
              <w:adjustRightInd w:val="0"/>
            </w:pPr>
            <w:r>
              <w:rPr>
                <w:rFonts w:eastAsia="Times New Roman"/>
                <w:bCs/>
              </w:rPr>
              <w:t>Наявність документально підтвердженого досвіду виконання аналогічного (аналогічних) за предметом закупівлі договору (договорів)</w:t>
            </w:r>
          </w:p>
          <w:p w:rsidR="007A5AB1" w:rsidRDefault="007A5AB1" w:rsidP="00AF2D09"/>
          <w:p w:rsidR="007A5AB1" w:rsidRDefault="007A5AB1" w:rsidP="00AF2D09"/>
          <w:p w:rsidR="007A5AB1" w:rsidRDefault="007A5AB1" w:rsidP="00AF2D09"/>
          <w:p w:rsidR="007A5AB1" w:rsidRDefault="007A5AB1" w:rsidP="00AF2D09"/>
          <w:p w:rsidR="007A5AB1" w:rsidRDefault="007A5AB1" w:rsidP="00AF2D09"/>
          <w:p w:rsidR="007A5AB1" w:rsidRDefault="007A5AB1" w:rsidP="00AF2D09"/>
          <w:p w:rsidR="007A5AB1" w:rsidRDefault="007A5AB1" w:rsidP="00AF2D09"/>
          <w:p w:rsidR="007A5AB1" w:rsidRDefault="007A5AB1" w:rsidP="00AF2D09"/>
          <w:p w:rsidR="007A5AB1" w:rsidRDefault="007A5AB1" w:rsidP="00AF2D09"/>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5AB1" w:rsidRDefault="007A5AB1" w:rsidP="00AF2D09">
            <w:pPr>
              <w:widowControl w:val="0"/>
              <w:tabs>
                <w:tab w:val="left" w:pos="1080"/>
              </w:tabs>
              <w:jc w:val="both"/>
            </w:pPr>
            <w:r>
              <w:t>Довідка в довільній формі, яка містить інформацію про виконання аналогічного договору не менше одного.</w:t>
            </w:r>
          </w:p>
          <w:p w:rsidR="007A5AB1" w:rsidRDefault="007A5AB1" w:rsidP="00AF2D09">
            <w:pPr>
              <w:widowControl w:val="0"/>
              <w:tabs>
                <w:tab w:val="left" w:pos="1080"/>
              </w:tabs>
              <w:jc w:val="both"/>
            </w:pPr>
            <w:r>
              <w:t>На підтвердження досвіду виконання аналогічного (аналогічних) за предметом закупівлі договору (договорів) Учасник має надати: не менше 1 копії договору, зазначеного у довідці (з усіма укладеними додатковими угодами, додатками та специфікаціями до договору).</w:t>
            </w:r>
          </w:p>
          <w:p w:rsidR="007A5AB1" w:rsidRDefault="007A5AB1" w:rsidP="00AF2D09">
            <w:pPr>
              <w:widowControl w:val="0"/>
              <w:tabs>
                <w:tab w:val="left" w:pos="1080"/>
              </w:tabs>
              <w:jc w:val="both"/>
            </w:pPr>
          </w:p>
          <w:p w:rsidR="007A5AB1" w:rsidRDefault="007A5AB1" w:rsidP="00AF2D09">
            <w:pPr>
              <w:jc w:val="both"/>
              <w:rPr>
                <w:b/>
                <w:i/>
              </w:rPr>
            </w:pPr>
            <w:r>
              <w:rPr>
                <w:b/>
                <w:i/>
              </w:rPr>
              <w:t>Аналогічним вважається договір на постачання товару (</w:t>
            </w:r>
            <w:proofErr w:type="spellStart"/>
            <w:r>
              <w:rPr>
                <w:b/>
                <w:i/>
              </w:rPr>
              <w:t>-ів</w:t>
            </w:r>
            <w:proofErr w:type="spellEnd"/>
            <w:r>
              <w:rPr>
                <w:b/>
                <w:i/>
              </w:rPr>
              <w:t>), який (-і) входить (</w:t>
            </w:r>
            <w:proofErr w:type="spellStart"/>
            <w:r>
              <w:rPr>
                <w:b/>
                <w:i/>
              </w:rPr>
              <w:t>-ять</w:t>
            </w:r>
            <w:proofErr w:type="spellEnd"/>
            <w:r>
              <w:rPr>
                <w:b/>
                <w:i/>
              </w:rPr>
              <w:t>) до складу предмету закупівлі або договір з аналогічним кодом ДК</w:t>
            </w:r>
          </w:p>
        </w:tc>
      </w:tr>
    </w:tbl>
    <w:p w:rsidR="00B458A9" w:rsidRDefault="00B458A9" w:rsidP="00B458A9">
      <w:pPr>
        <w:pStyle w:val="a5"/>
        <w:rPr>
          <w:color w:val="000000"/>
          <w:sz w:val="27"/>
          <w:szCs w:val="27"/>
        </w:rPr>
      </w:pPr>
      <w:r>
        <w:rPr>
          <w:color w:val="000000"/>
          <w:sz w:val="27"/>
          <w:szCs w:val="27"/>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458A9" w:rsidRPr="00B458A9" w:rsidRDefault="00B458A9" w:rsidP="00B458A9">
      <w:pPr>
        <w:pStyle w:val="a5"/>
        <w:rPr>
          <w:color w:val="000000"/>
          <w:sz w:val="27"/>
          <w:szCs w:val="27"/>
          <w:lang w:val="ru-RU"/>
        </w:rPr>
      </w:pPr>
      <w:r>
        <w:rPr>
          <w:color w:val="000000"/>
          <w:sz w:val="27"/>
          <w:szCs w:val="27"/>
        </w:rPr>
        <w:t>- копії установчих документів, що підтверджують право підприємства на здійснення певного виду господарської діяльності (статут або положення);</w:t>
      </w:r>
    </w:p>
    <w:p w:rsidR="007A5AB1" w:rsidRDefault="007A5AB1" w:rsidP="007A5AB1">
      <w:pPr>
        <w:spacing w:before="240"/>
        <w:jc w:val="both"/>
        <w:rPr>
          <w:rFonts w:eastAsia="Times New Roman"/>
          <w:i/>
        </w:rPr>
      </w:pPr>
      <w:r>
        <w:rPr>
          <w:rFonts w:eastAsia="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5AB1" w:rsidRDefault="007A5AB1" w:rsidP="007A5AB1">
      <w:pPr>
        <w:rPr>
          <w:b/>
          <w:bCs/>
        </w:rPr>
      </w:pPr>
    </w:p>
    <w:p w:rsidR="007A5AB1" w:rsidRDefault="007A5AB1" w:rsidP="007A5AB1">
      <w:pPr>
        <w:rPr>
          <w:b/>
          <w:bCs/>
        </w:rPr>
      </w:pPr>
      <w:r>
        <w:rPr>
          <w:b/>
          <w:bCs/>
        </w:rPr>
        <w:t>ІІ. Вимоги до учасників та переможця процедури закупівлі у відповідності до Особливостей:</w:t>
      </w:r>
    </w:p>
    <w:tbl>
      <w:tblPr>
        <w:tblW w:w="10632" w:type="dxa"/>
        <w:tblInd w:w="-601" w:type="dxa"/>
        <w:tblLook w:val="04A0" w:firstRow="1" w:lastRow="0" w:firstColumn="1" w:lastColumn="0" w:noHBand="0" w:noVBand="1"/>
      </w:tblPr>
      <w:tblGrid>
        <w:gridCol w:w="709"/>
        <w:gridCol w:w="3686"/>
        <w:gridCol w:w="3260"/>
        <w:gridCol w:w="2977"/>
      </w:tblGrid>
      <w:tr w:rsidR="007A5AB1" w:rsidTr="00AF2D09">
        <w:tc>
          <w:tcPr>
            <w:tcW w:w="709" w:type="dxa"/>
            <w:tcBorders>
              <w:top w:val="single" w:sz="4" w:space="0" w:color="000000"/>
              <w:left w:val="single" w:sz="4" w:space="0" w:color="000000"/>
              <w:bottom w:val="single" w:sz="4" w:space="0" w:color="000000"/>
              <w:right w:val="single" w:sz="4" w:space="0" w:color="000000"/>
            </w:tcBorders>
            <w:vAlign w:val="center"/>
            <w:hideMark/>
          </w:tcPr>
          <w:p w:rsidR="007A5AB1" w:rsidRDefault="007A5AB1" w:rsidP="00AF2D09">
            <w:pPr>
              <w:jc w:val="center"/>
              <w:rPr>
                <w:rFonts w:eastAsia="Times New Roman"/>
              </w:rPr>
            </w:pPr>
            <w:r>
              <w:rPr>
                <w:rFonts w:eastAsia="Times New Roman"/>
                <w:b/>
                <w:bCs/>
              </w:rPr>
              <w:t>№ п/п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A5AB1" w:rsidRDefault="007A5AB1" w:rsidP="00AF2D09">
            <w:pPr>
              <w:jc w:val="center"/>
              <w:rPr>
                <w:rFonts w:eastAsia="Times New Roman"/>
              </w:rPr>
            </w:pPr>
            <w:r>
              <w:rPr>
                <w:rFonts w:eastAsia="Times New Roman"/>
                <w:b/>
                <w:bCs/>
              </w:rPr>
              <w:t>Підстави для відмови в участі у процедурі закупівлі</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A5AB1" w:rsidRDefault="007A5AB1" w:rsidP="00AF2D09">
            <w:pPr>
              <w:jc w:val="center"/>
              <w:rPr>
                <w:rFonts w:eastAsia="Times New Roman"/>
                <w:b/>
                <w:bCs/>
              </w:rPr>
            </w:pPr>
            <w:r>
              <w:rPr>
                <w:rFonts w:eastAsia="Times New Roman"/>
                <w:b/>
                <w:bCs/>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A5AB1" w:rsidRDefault="007A5AB1" w:rsidP="00AF2D09">
            <w:pPr>
              <w:jc w:val="center"/>
              <w:rPr>
                <w:rFonts w:eastAsia="Times New Roman"/>
              </w:rPr>
            </w:pPr>
            <w:r>
              <w:rPr>
                <w:rFonts w:eastAsia="Times New Roman"/>
                <w:b/>
                <w:bCs/>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w:t>
            </w:r>
            <w:r>
              <w:rPr>
                <w:rFonts w:eastAsia="Times New Roman"/>
                <w:b/>
                <w:bCs/>
              </w:rPr>
              <w:lastRenderedPageBreak/>
              <w:t>оприлюднення в електронній системі закупівель:</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lastRenderedPageBreak/>
              <w:t>1</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i/>
                <w:iCs/>
                <w:shd w:val="clear" w:color="auto" w:fill="FFFFFF"/>
              </w:rPr>
              <w:t>(</w:t>
            </w:r>
            <w:r>
              <w:rPr>
                <w:rFonts w:eastAsia="Times New Roman"/>
                <w:i/>
                <w:iCs/>
              </w:rPr>
              <w:t>підпункт 1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i/>
                <w:iCs/>
                <w:shd w:val="clear" w:color="auto" w:fill="FFFFFF"/>
              </w:rPr>
              <w:t>(</w:t>
            </w:r>
            <w:r>
              <w:rPr>
                <w:rFonts w:eastAsia="Times New Roman"/>
                <w:i/>
                <w:iCs/>
              </w:rPr>
              <w:t>підпункт 2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3</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i/>
                <w:iCs/>
                <w:shd w:val="clear" w:color="auto" w:fill="FFFFFF"/>
              </w:rPr>
              <w:t>(</w:t>
            </w:r>
            <w:r>
              <w:rPr>
                <w:rFonts w:eastAsia="Times New Roman"/>
                <w:i/>
                <w:iCs/>
              </w:rPr>
              <w:t>підпункт 3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shd w:val="clear" w:color="auto" w:fill="FFFFFF"/>
              </w:rPr>
            </w:pPr>
            <w:r>
              <w:rPr>
                <w:rFonts w:eastAsia="Times New Roman"/>
              </w:rPr>
              <w:t xml:space="preserve">Інформаційна довідка з Єдиного державного реєстру осіб, які вчинили корупційні правопорушення  про те, що </w:t>
            </w:r>
            <w:r>
              <w:rPr>
                <w:rFonts w:eastAsia="Times New Roman"/>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rPr>
              <w:t xml:space="preserve"> Довідка надається в період відсутності функціональної можливості перевірки інформації на </w:t>
            </w:r>
            <w:proofErr w:type="spellStart"/>
            <w:r>
              <w:rPr>
                <w:rFonts w:eastAsia="Times New Roman"/>
              </w:rPr>
              <w:t>вебресурсі</w:t>
            </w:r>
            <w:proofErr w:type="spellEnd"/>
            <w:r>
              <w:rPr>
                <w:rFonts w:eastAsia="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shd w:val="clear" w:color="auto" w:fill="FFFFFF"/>
              </w:rPr>
              <w:t>антиконкурентних</w:t>
            </w:r>
            <w:proofErr w:type="spellEnd"/>
            <w:r>
              <w:rPr>
                <w:rFonts w:eastAsia="Times New Roman"/>
                <w:shd w:val="clear" w:color="auto" w:fill="FFFFFF"/>
              </w:rPr>
              <w:t xml:space="preserve"> узгоджених дій, що стосуються спотворення результатів тендерів </w:t>
            </w:r>
            <w:r>
              <w:rPr>
                <w:rFonts w:eastAsia="Times New Roman"/>
                <w:i/>
                <w:iCs/>
                <w:shd w:val="clear" w:color="auto" w:fill="FFFFFF"/>
              </w:rPr>
              <w:t>(</w:t>
            </w:r>
            <w:r>
              <w:rPr>
                <w:rFonts w:eastAsia="Times New Roman"/>
                <w:i/>
                <w:iCs/>
              </w:rPr>
              <w:t>підпункт 4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5</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i/>
                <w:iCs/>
                <w:shd w:val="clear" w:color="auto" w:fill="FFFFFF"/>
              </w:rPr>
              <w:t>(</w:t>
            </w:r>
            <w:r>
              <w:rPr>
                <w:rFonts w:eastAsia="Times New Roman"/>
                <w:i/>
                <w:iCs/>
              </w:rPr>
              <w:t>підпункт 5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 </w:t>
            </w:r>
            <w:r>
              <w:rPr>
                <w:rFonts w:eastAsia="Times New Roman"/>
                <w:i/>
              </w:rPr>
              <w:t>Документ повинен бути виданий у 2023 році.</w:t>
            </w:r>
            <w:r>
              <w:rPr>
                <w:rFonts w:eastAsia="Times New Roman"/>
              </w:rPr>
              <w:t> </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6</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i/>
                <w:iCs/>
                <w:shd w:val="clear" w:color="auto" w:fill="FFFFFF"/>
              </w:rPr>
              <w:t>(підпункт 6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 </w:t>
            </w:r>
            <w:r>
              <w:rPr>
                <w:rFonts w:eastAsia="Times New Roman"/>
                <w:i/>
              </w:rPr>
              <w:t>Документ повинен бути виданий у 2023 році.</w:t>
            </w:r>
            <w:r>
              <w:rPr>
                <w:rFonts w:eastAsia="Times New Roman"/>
              </w:rPr>
              <w:t> </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7</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тендерна пропозиція подана </w:t>
            </w:r>
            <w:r>
              <w:rPr>
                <w:rFonts w:eastAsia="Times New Roman"/>
                <w:shd w:val="clear" w:color="auto" w:fill="FFFFFF"/>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i/>
                <w:iCs/>
                <w:shd w:val="clear" w:color="auto" w:fill="FFFFFF"/>
              </w:rPr>
              <w:t>(</w:t>
            </w:r>
            <w:r>
              <w:rPr>
                <w:rFonts w:eastAsia="Times New Roman"/>
                <w:i/>
                <w:iCs/>
              </w:rPr>
              <w:t>підпункт 7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lastRenderedPageBreak/>
              <w:t xml:space="preserve">Учасник процедури закупівлі </w:t>
            </w:r>
            <w:r>
              <w:rPr>
                <w:rFonts w:eastAsia="Times New Roman"/>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lastRenderedPageBreak/>
              <w:t xml:space="preserve">Переможець не надає </w:t>
            </w:r>
            <w:r>
              <w:rPr>
                <w:rFonts w:eastAsia="Times New Roman"/>
              </w:rPr>
              <w:lastRenderedPageBreak/>
              <w:t>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lastRenderedPageBreak/>
              <w:t>8</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i/>
                <w:iCs/>
                <w:shd w:val="clear" w:color="auto" w:fill="FFFFFF"/>
              </w:rPr>
              <w:t>(</w:t>
            </w:r>
            <w:r>
              <w:rPr>
                <w:rFonts w:eastAsia="Times New Roman"/>
                <w:i/>
                <w:iCs/>
              </w:rPr>
              <w:t>підпункт 8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9</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i/>
                <w:iCs/>
                <w:shd w:val="clear" w:color="auto" w:fill="FFFFFF"/>
              </w:rPr>
              <w:t>(</w:t>
            </w:r>
            <w:r>
              <w:rPr>
                <w:rFonts w:eastAsia="Times New Roman"/>
                <w:i/>
                <w:iCs/>
              </w:rPr>
              <w:t>підпункт 9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10</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учасник процедури закупівлі або кінцевий </w:t>
            </w:r>
            <w:proofErr w:type="spellStart"/>
            <w:r>
              <w:rPr>
                <w:rFonts w:eastAsia="Times New Roman"/>
                <w:shd w:val="clear" w:color="auto" w:fill="FFFFFF"/>
              </w:rPr>
              <w:t>бенефіціарний</w:t>
            </w:r>
            <w:proofErr w:type="spellEnd"/>
            <w:r>
              <w:rPr>
                <w:rFonts w:eastAsia="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i/>
                <w:iCs/>
                <w:shd w:val="clear" w:color="auto" w:fill="FFFFFF"/>
              </w:rPr>
              <w:t>(</w:t>
            </w:r>
            <w:r>
              <w:rPr>
                <w:rFonts w:eastAsia="Times New Roman"/>
                <w:i/>
                <w:iCs/>
              </w:rPr>
              <w:t>підпункт 11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Переможець не надає підтвердження своєї відповідності.</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11</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i/>
                <w:iCs/>
                <w:shd w:val="clear" w:color="auto" w:fill="FFFFFF"/>
              </w:rPr>
              <w:t>(підпункт 12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 знятої чи </w:t>
            </w:r>
            <w:r>
              <w:rPr>
                <w:rFonts w:eastAsia="Times New Roman"/>
              </w:rPr>
              <w:lastRenderedPageBreak/>
              <w:t xml:space="preserve">непогашеної судимості не має та в розшуку не перебуває. </w:t>
            </w:r>
            <w:r>
              <w:rPr>
                <w:rFonts w:eastAsia="Times New Roman"/>
                <w:i/>
              </w:rPr>
              <w:t>Документ повинен бути виданий у 2023 році.</w:t>
            </w:r>
            <w:r>
              <w:rPr>
                <w:rFonts w:eastAsia="Times New Roman"/>
              </w:rPr>
              <w:t> </w:t>
            </w:r>
          </w:p>
        </w:tc>
      </w:tr>
      <w:tr w:rsidR="007A5AB1" w:rsidTr="00AF2D09">
        <w:tc>
          <w:tcPr>
            <w:tcW w:w="709"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rPr>
            </w:pPr>
            <w:r>
              <w:rPr>
                <w:rFonts w:eastAsia="Times New Roman"/>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7A5AB1" w:rsidRDefault="007A5AB1" w:rsidP="00AF2D09">
            <w:pPr>
              <w:jc w:val="both"/>
              <w:rPr>
                <w:rFonts w:eastAsia="Times New Roman"/>
                <w:i/>
                <w:iCs/>
              </w:rPr>
            </w:pPr>
            <w:r>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i/>
                <w:iCs/>
              </w:rPr>
              <w:t>(абзац 14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AB1" w:rsidRDefault="007A5AB1" w:rsidP="00AF2D09">
            <w:pPr>
              <w:jc w:val="both"/>
              <w:rPr>
                <w:rFonts w:eastAsia="Times New Roman"/>
              </w:rPr>
            </w:pPr>
            <w:r>
              <w:rPr>
                <w:rFonts w:eastAsia="Times New Roman"/>
              </w:rPr>
              <w:t>Учасник процедури закупівлі має надати:</w:t>
            </w:r>
          </w:p>
          <w:p w:rsidR="007A5AB1" w:rsidRDefault="007A5AB1" w:rsidP="007A5AB1">
            <w:pPr>
              <w:pStyle w:val="a4"/>
              <w:numPr>
                <w:ilvl w:val="0"/>
                <w:numId w:val="1"/>
              </w:numPr>
              <w:spacing w:after="160" w:line="256" w:lineRule="auto"/>
              <w:jc w:val="both"/>
            </w:pPr>
            <w: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A5AB1" w:rsidRDefault="007A5AB1" w:rsidP="00AF2D09">
            <w:pPr>
              <w:ind w:left="50"/>
              <w:jc w:val="both"/>
              <w:rPr>
                <w:rFonts w:eastAsia="Times New Roman"/>
              </w:rPr>
            </w:pPr>
            <w:r>
              <w:rPr>
                <w:rFonts w:eastAsia="Times New Roman"/>
              </w:rPr>
              <w:t xml:space="preserve">                            або </w:t>
            </w:r>
          </w:p>
          <w:p w:rsidR="007A5AB1" w:rsidRDefault="007A5AB1" w:rsidP="007A5AB1">
            <w:pPr>
              <w:pStyle w:val="a4"/>
              <w:numPr>
                <w:ilvl w:val="0"/>
                <w:numId w:val="1"/>
              </w:numPr>
              <w:spacing w:after="160" w:line="256" w:lineRule="auto"/>
              <w:jc w:val="both"/>
            </w:pPr>
            <w: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Pr>
          <w:p w:rsidR="007A5AB1" w:rsidRDefault="007A5AB1" w:rsidP="00AF2D09">
            <w:pPr>
              <w:jc w:val="both"/>
              <w:rPr>
                <w:rFonts w:eastAsia="Times New Roman"/>
              </w:rPr>
            </w:pPr>
            <w:r>
              <w:rPr>
                <w:rFonts w:eastAsia="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5AB1" w:rsidRDefault="007A5AB1" w:rsidP="00AF2D09">
            <w:pPr>
              <w:rPr>
                <w:rFonts w:eastAsia="Times New Roman"/>
              </w:rPr>
            </w:pPr>
          </w:p>
          <w:p w:rsidR="007A5AB1" w:rsidRDefault="007A5AB1" w:rsidP="00AF2D09">
            <w:pPr>
              <w:jc w:val="both"/>
              <w:rPr>
                <w:rFonts w:eastAsia="Times New Roman"/>
              </w:rPr>
            </w:pPr>
            <w:r>
              <w:rPr>
                <w:rFonts w:eastAsia="Times New Roman"/>
              </w:rPr>
              <w:t xml:space="preserve">                        або</w:t>
            </w:r>
          </w:p>
          <w:p w:rsidR="007A5AB1" w:rsidRDefault="007A5AB1" w:rsidP="00AF2D09">
            <w:pPr>
              <w:rPr>
                <w:rFonts w:eastAsia="Times New Roman"/>
              </w:rPr>
            </w:pPr>
          </w:p>
          <w:p w:rsidR="007A5AB1" w:rsidRDefault="007A5AB1" w:rsidP="00AF2D09">
            <w:pPr>
              <w:jc w:val="both"/>
              <w:rPr>
                <w:rFonts w:eastAsia="Times New Roman"/>
              </w:rPr>
            </w:pPr>
            <w:r>
              <w:rPr>
                <w:rFonts w:eastAsia="Times New Roman"/>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A5AB1" w:rsidRDefault="007A5AB1" w:rsidP="007A5AB1">
      <w:pPr>
        <w:jc w:val="both"/>
        <w:rPr>
          <w:b/>
          <w:i/>
        </w:rPr>
      </w:pPr>
      <w:r>
        <w:rPr>
          <w:b/>
          <w:i/>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w:t>
      </w:r>
      <w:r>
        <w:rPr>
          <w:b/>
          <w:i/>
        </w:rPr>
        <w:lastRenderedPageBreak/>
        <w:t>визначеним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особливостей.</w:t>
      </w:r>
    </w:p>
    <w:p w:rsidR="007A5AB1" w:rsidRDefault="007A5AB1" w:rsidP="007A5AB1">
      <w:pPr>
        <w:spacing w:before="20" w:after="20"/>
        <w:ind w:firstLine="720"/>
        <w:jc w:val="both"/>
        <w:rPr>
          <w:rFonts w:eastAsia="Times New Roman"/>
        </w:rPr>
      </w:pPr>
    </w:p>
    <w:p w:rsidR="007A5AB1" w:rsidRDefault="007A5AB1" w:rsidP="007A5AB1">
      <w:pPr>
        <w:rPr>
          <w:b/>
          <w:bCs/>
          <w:noProof/>
        </w:rPr>
      </w:pPr>
      <w:r>
        <w:rPr>
          <w:b/>
          <w:bCs/>
          <w:noProof/>
        </w:rPr>
        <w:t>І</w:t>
      </w:r>
      <w:r>
        <w:rPr>
          <w:b/>
          <w:bCs/>
        </w:rPr>
        <w:t>ІІ.</w:t>
      </w:r>
      <w:r>
        <w:rPr>
          <w:b/>
          <w:bCs/>
          <w:noProof/>
        </w:rPr>
        <w:t>. Інша інформація для УЧАСНИКІВ .</w:t>
      </w:r>
    </w:p>
    <w:tbl>
      <w:tblPr>
        <w:tblW w:w="4900" w:type="pct"/>
        <w:tblLook w:val="04A0" w:firstRow="1" w:lastRow="0" w:firstColumn="1" w:lastColumn="0" w:noHBand="0" w:noVBand="1"/>
      </w:tblPr>
      <w:tblGrid>
        <w:gridCol w:w="547"/>
        <w:gridCol w:w="2559"/>
        <w:gridCol w:w="6552"/>
      </w:tblGrid>
      <w:tr w:rsidR="007A5AB1" w:rsidTr="00AF2D09">
        <w:trPr>
          <w:trHeight w:val="375"/>
        </w:trPr>
        <w:tc>
          <w:tcPr>
            <w:tcW w:w="283" w:type="pct"/>
            <w:tcBorders>
              <w:top w:val="single" w:sz="4" w:space="0" w:color="000000"/>
              <w:left w:val="single" w:sz="4" w:space="0" w:color="000000"/>
              <w:bottom w:val="single" w:sz="4" w:space="0" w:color="000000"/>
              <w:right w:val="nil"/>
            </w:tcBorders>
            <w:hideMark/>
          </w:tcPr>
          <w:p w:rsidR="007A5AB1" w:rsidRDefault="007A5AB1" w:rsidP="00AF2D09">
            <w:pPr>
              <w:jc w:val="both"/>
              <w:rPr>
                <w:noProof/>
              </w:rPr>
            </w:pPr>
            <w:r>
              <w:rPr>
                <w:noProof/>
                <w:sz w:val="22"/>
                <w:szCs w:val="22"/>
              </w:rPr>
              <w:t>1.</w:t>
            </w:r>
          </w:p>
        </w:tc>
        <w:tc>
          <w:tcPr>
            <w:tcW w:w="1325" w:type="pct"/>
            <w:tcBorders>
              <w:top w:val="single" w:sz="4" w:space="0" w:color="000000"/>
              <w:left w:val="single" w:sz="4" w:space="0" w:color="000000"/>
              <w:bottom w:val="single" w:sz="4" w:space="0" w:color="000000"/>
              <w:right w:val="nil"/>
            </w:tcBorders>
          </w:tcPr>
          <w:p w:rsidR="007A5AB1" w:rsidRDefault="007A5AB1" w:rsidP="00AF2D09">
            <w:pPr>
              <w:jc w:val="both"/>
              <w:rPr>
                <w:noProof/>
              </w:rPr>
            </w:pPr>
            <w:r>
              <w:rPr>
                <w:noProof/>
                <w:sz w:val="22"/>
                <w:szCs w:val="22"/>
              </w:rPr>
              <w:t>Лист – згоду на обробку персональних даних, відповідно до Закону України «Про захист персональних даних».</w:t>
            </w:r>
          </w:p>
          <w:p w:rsidR="007A5AB1" w:rsidRDefault="007A5AB1" w:rsidP="00AF2D09">
            <w:pPr>
              <w:jc w:val="both"/>
              <w:rPr>
                <w:noProof/>
              </w:rPr>
            </w:pPr>
          </w:p>
        </w:tc>
        <w:tc>
          <w:tcPr>
            <w:tcW w:w="3392" w:type="pct"/>
            <w:tcBorders>
              <w:top w:val="single" w:sz="4" w:space="0" w:color="000000"/>
              <w:left w:val="single" w:sz="4" w:space="0" w:color="000000"/>
              <w:bottom w:val="single" w:sz="4" w:space="0" w:color="000000"/>
              <w:right w:val="single" w:sz="4" w:space="0" w:color="000000"/>
            </w:tcBorders>
          </w:tcPr>
          <w:p w:rsidR="007A5AB1" w:rsidRDefault="007A5AB1" w:rsidP="00AF2D09">
            <w:pPr>
              <w:jc w:val="both"/>
              <w:rPr>
                <w:i/>
                <w:noProof/>
              </w:rPr>
            </w:pPr>
            <w:r>
              <w:rPr>
                <w:i/>
                <w:noProof/>
                <w:sz w:val="22"/>
                <w:szCs w:val="22"/>
              </w:rPr>
              <w:t xml:space="preserve">                                                                                             Взірець</w:t>
            </w:r>
          </w:p>
          <w:p w:rsidR="007A5AB1" w:rsidRDefault="007A5AB1" w:rsidP="00AF2D09">
            <w:pPr>
              <w:jc w:val="both"/>
              <w:rPr>
                <w:noProof/>
              </w:rPr>
            </w:pPr>
            <w:r>
              <w:rPr>
                <w:noProof/>
                <w:sz w:val="22"/>
                <w:szCs w:val="22"/>
              </w:rPr>
              <w:t xml:space="preserve">                   Лист-згода на обробку персональних даних</w:t>
            </w:r>
          </w:p>
          <w:p w:rsidR="007A5AB1" w:rsidRDefault="007A5AB1" w:rsidP="00AF2D09">
            <w:pPr>
              <w:jc w:val="both"/>
              <w:rPr>
                <w:noProof/>
              </w:rPr>
            </w:pPr>
          </w:p>
          <w:p w:rsidR="007A5AB1" w:rsidRDefault="007A5AB1" w:rsidP="00AF2D09">
            <w:pPr>
              <w:jc w:val="both"/>
              <w:rPr>
                <w:noProof/>
              </w:rPr>
            </w:pPr>
            <w:r>
              <w:rPr>
                <w:noProof/>
                <w:sz w:val="22"/>
                <w:szCs w:val="22"/>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noProof/>
                <w:sz w:val="22"/>
                <w:szCs w:val="22"/>
                <w:lang w:val="ru-RU"/>
              </w:rPr>
              <w:t>відкритих</w:t>
            </w:r>
            <w:r>
              <w:rPr>
                <w:noProof/>
                <w:sz w:val="22"/>
                <w:szCs w:val="22"/>
              </w:rPr>
              <w:t xml:space="preserve"> торгів, цивільно-правових та господарських відносин.  </w:t>
            </w:r>
          </w:p>
          <w:p w:rsidR="007A5AB1" w:rsidRDefault="007A5AB1" w:rsidP="00AF2D09">
            <w:pPr>
              <w:jc w:val="both"/>
              <w:rPr>
                <w:i/>
                <w:noProof/>
              </w:rPr>
            </w:pPr>
            <w:r>
              <w:rPr>
                <w:i/>
                <w:noProof/>
                <w:sz w:val="22"/>
                <w:szCs w:val="22"/>
              </w:rPr>
              <w:t xml:space="preserve">                                                Посада, прізвище, ініціали, підпис </w:t>
            </w:r>
          </w:p>
          <w:p w:rsidR="007A5AB1" w:rsidRDefault="007A5AB1" w:rsidP="00AF2D09">
            <w:pPr>
              <w:jc w:val="both"/>
              <w:rPr>
                <w:noProof/>
              </w:rPr>
            </w:pPr>
          </w:p>
        </w:tc>
      </w:tr>
      <w:tr w:rsidR="007A5AB1" w:rsidTr="00AF2D09">
        <w:trPr>
          <w:trHeight w:val="375"/>
        </w:trPr>
        <w:tc>
          <w:tcPr>
            <w:tcW w:w="283" w:type="pct"/>
            <w:tcBorders>
              <w:top w:val="single" w:sz="4" w:space="0" w:color="000000"/>
              <w:left w:val="single" w:sz="4" w:space="0" w:color="000000"/>
              <w:bottom w:val="single" w:sz="4" w:space="0" w:color="000000"/>
              <w:right w:val="nil"/>
            </w:tcBorders>
            <w:hideMark/>
          </w:tcPr>
          <w:p w:rsidR="007A5AB1" w:rsidRDefault="007A5AB1" w:rsidP="00AF2D09">
            <w:pPr>
              <w:jc w:val="both"/>
              <w:rPr>
                <w:noProof/>
              </w:rPr>
            </w:pPr>
            <w:r>
              <w:rPr>
                <w:noProof/>
                <w:sz w:val="22"/>
                <w:szCs w:val="22"/>
              </w:rPr>
              <w:t>2.</w:t>
            </w:r>
          </w:p>
        </w:tc>
        <w:tc>
          <w:tcPr>
            <w:tcW w:w="1325" w:type="pct"/>
            <w:tcBorders>
              <w:top w:val="single" w:sz="4" w:space="0" w:color="000000"/>
              <w:left w:val="single" w:sz="4" w:space="0" w:color="000000"/>
              <w:bottom w:val="single" w:sz="4" w:space="0" w:color="000000"/>
              <w:right w:val="nil"/>
            </w:tcBorders>
            <w:hideMark/>
          </w:tcPr>
          <w:p w:rsidR="007A5AB1" w:rsidRDefault="007A5AB1" w:rsidP="00AF2D09">
            <w:pPr>
              <w:jc w:val="both"/>
              <w:rPr>
                <w:noProof/>
              </w:rPr>
            </w:pPr>
            <w:r>
              <w:rPr>
                <w:noProof/>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7A5AB1" w:rsidRDefault="007A5AB1" w:rsidP="00AF2D09">
            <w:pPr>
              <w:jc w:val="both"/>
              <w:rPr>
                <w:noProof/>
              </w:rPr>
            </w:pPr>
            <w:r>
              <w:rPr>
                <w:noProof/>
              </w:rPr>
              <w:t>Лист-згоду довільної форми, підписаний уповноваженою особою учасника про погодження учасника з істотними умовами договору про закупівлю товару.</w:t>
            </w:r>
          </w:p>
          <w:p w:rsidR="007A5AB1" w:rsidRDefault="007A5AB1" w:rsidP="00AF2D09">
            <w:pPr>
              <w:jc w:val="both"/>
              <w:rPr>
                <w:noProof/>
              </w:rPr>
            </w:pPr>
          </w:p>
          <w:p w:rsidR="007A5AB1" w:rsidRDefault="007A5AB1" w:rsidP="00AF2D09">
            <w:pPr>
              <w:jc w:val="both"/>
              <w:rPr>
                <w:i/>
                <w:noProof/>
              </w:rPr>
            </w:pPr>
          </w:p>
        </w:tc>
      </w:tr>
    </w:tbl>
    <w:p w:rsidR="007A5AB1" w:rsidRDefault="007A5AB1" w:rsidP="007A5AB1">
      <w:pPr>
        <w:rPr>
          <w:b/>
          <w:bCs/>
          <w:noProof/>
        </w:rPr>
      </w:pPr>
    </w:p>
    <w:p w:rsidR="007A5AB1" w:rsidRDefault="007A5AB1" w:rsidP="007A5AB1">
      <w:pPr>
        <w:rPr>
          <w:b/>
          <w:bCs/>
          <w:noProof/>
        </w:rPr>
      </w:pPr>
      <w:r>
        <w:rPr>
          <w:b/>
          <w:bCs/>
          <w:noProof/>
        </w:rPr>
        <w:t>Учасники при поданні тендерної пропозиції повинні враховувати норми:</w:t>
      </w:r>
    </w:p>
    <w:p w:rsidR="007A5AB1" w:rsidRDefault="007A5AB1" w:rsidP="007A5AB1">
      <w:pPr>
        <w:rPr>
          <w:b/>
          <w:bCs/>
          <w:noProof/>
        </w:rPr>
      </w:pPr>
      <w:r>
        <w:rPr>
          <w:b/>
          <w:bCs/>
          <w:noProof/>
        </w:rPr>
        <w:t>1.Постанови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A5AB1" w:rsidRDefault="007A5AB1" w:rsidP="007A5AB1">
      <w:pPr>
        <w:jc w:val="both"/>
        <w:rPr>
          <w:b/>
          <w:bCs/>
          <w:noProof/>
        </w:rPr>
      </w:pPr>
      <w:r>
        <w:rPr>
          <w:b/>
          <w:bCs/>
          <w:noProof/>
        </w:rPr>
        <w:t xml:space="preserve">2.Постанови Кабінету Міністрів України “Про застосування заборони ввезення товарів з Російської Федерації” від 09.04.2022 № 426; </w:t>
      </w:r>
    </w:p>
    <w:p w:rsidR="007A5AB1" w:rsidRDefault="007A5AB1" w:rsidP="007A5AB1">
      <w:pPr>
        <w:jc w:val="both"/>
        <w:rPr>
          <w:rFonts w:eastAsia="Times New Roman"/>
          <w:b/>
        </w:rPr>
      </w:pPr>
      <w:r>
        <w:rPr>
          <w:b/>
          <w:bCs/>
          <w:noProof/>
        </w:rPr>
        <w:t>3.Закону України “Про забезпечення прав і свобод громадян та правовий режим на тимчасово окупованій території України” від 15.04.2014 № 1207-VII.</w:t>
      </w:r>
      <w:r>
        <w:rPr>
          <w:rFonts w:eastAsia="Times New Roman"/>
          <w:b/>
        </w:rPr>
        <w:t xml:space="preserve">                                                                      </w:t>
      </w:r>
    </w:p>
    <w:p w:rsidR="007A5AB1" w:rsidRDefault="007A5AB1" w:rsidP="007A5AB1">
      <w:pPr>
        <w:jc w:val="both"/>
        <w:rPr>
          <w:rFonts w:eastAsia="Times New Roman"/>
          <w:b/>
        </w:rPr>
      </w:pPr>
    </w:p>
    <w:p w:rsidR="007A5AB1" w:rsidRDefault="007A5AB1" w:rsidP="007A5AB1">
      <w:pPr>
        <w:jc w:val="both"/>
        <w:rPr>
          <w:rFonts w:eastAsia="Times New Roman"/>
          <w:b/>
          <w:i/>
          <w:sz w:val="22"/>
          <w:szCs w:val="22"/>
        </w:rPr>
      </w:pPr>
      <w:r>
        <w:rPr>
          <w:i/>
          <w:sz w:val="22"/>
          <w:szCs w:val="22"/>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i/>
          <w:sz w:val="22"/>
          <w:szCs w:val="22"/>
        </w:rPr>
        <w:t>бенефіціарним</w:t>
      </w:r>
      <w:proofErr w:type="spellEnd"/>
      <w:r>
        <w:rPr>
          <w:i/>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1BD5" w:rsidRDefault="00D41BD5"/>
    <w:sectPr w:rsidR="00D41BD5" w:rsidSect="00D41B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24C"/>
    <w:multiLevelType w:val="hybridMultilevel"/>
    <w:tmpl w:val="4808C240"/>
    <w:lvl w:ilvl="0" w:tplc="E5E89770">
      <w:start w:val="2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B1"/>
    <w:rsid w:val="00517D21"/>
    <w:rsid w:val="007A5AB1"/>
    <w:rsid w:val="007D6F7F"/>
    <w:rsid w:val="00B458A9"/>
    <w:rsid w:val="00D41BD5"/>
    <w:rsid w:val="00FA4C1C"/>
    <w:rsid w:val="00FF7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B1"/>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4"/>
    <w:uiPriority w:val="34"/>
    <w:locked/>
    <w:rsid w:val="007A5AB1"/>
    <w:rPr>
      <w:rFonts w:ascii="Times New Roman" w:eastAsia="Times New Roman" w:hAnsi="Times New Roman" w:cs="Times New Roman"/>
      <w:sz w:val="24"/>
      <w:szCs w:val="24"/>
      <w:lang w:eastAsia="uk-UA"/>
    </w:rPr>
  </w:style>
  <w:style w:type="paragraph" w:styleId="a4">
    <w:name w:val="List Paragraph"/>
    <w:aliases w:val="Список уровня 2,Elenco Normale,Chapter10,название табл/рис,List Paragraph (numbered (a)),List_Paragraph,Multilevel para_II,List Paragraph-ExecSummary,Akapit z listą BS,Bullets,List Paragraph 1,References,IBL List Paragraph"/>
    <w:basedOn w:val="a"/>
    <w:link w:val="a3"/>
    <w:uiPriority w:val="34"/>
    <w:qFormat/>
    <w:rsid w:val="007A5AB1"/>
    <w:pPr>
      <w:ind w:left="720"/>
      <w:contextualSpacing/>
    </w:pPr>
    <w:rPr>
      <w:rFonts w:eastAsia="Times New Roman"/>
      <w:lang w:eastAsia="uk-UA"/>
    </w:rPr>
  </w:style>
  <w:style w:type="paragraph" w:styleId="a5">
    <w:name w:val="Normal (Web)"/>
    <w:basedOn w:val="a"/>
    <w:uiPriority w:val="99"/>
    <w:unhideWhenUsed/>
    <w:rsid w:val="00B458A9"/>
    <w:pPr>
      <w:spacing w:before="100" w:beforeAutospacing="1" w:after="100" w:afterAutospacing="1"/>
    </w:pPr>
    <w:rPr>
      <w:rFonts w:eastAsia="Times New Roman"/>
      <w:u w:color="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B1"/>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4"/>
    <w:uiPriority w:val="34"/>
    <w:locked/>
    <w:rsid w:val="007A5AB1"/>
    <w:rPr>
      <w:rFonts w:ascii="Times New Roman" w:eastAsia="Times New Roman" w:hAnsi="Times New Roman" w:cs="Times New Roman"/>
      <w:sz w:val="24"/>
      <w:szCs w:val="24"/>
      <w:lang w:eastAsia="uk-UA"/>
    </w:rPr>
  </w:style>
  <w:style w:type="paragraph" w:styleId="a4">
    <w:name w:val="List Paragraph"/>
    <w:aliases w:val="Список уровня 2,Elenco Normale,Chapter10,название табл/рис,List Paragraph (numbered (a)),List_Paragraph,Multilevel para_II,List Paragraph-ExecSummary,Akapit z listą BS,Bullets,List Paragraph 1,References,IBL List Paragraph"/>
    <w:basedOn w:val="a"/>
    <w:link w:val="a3"/>
    <w:uiPriority w:val="34"/>
    <w:qFormat/>
    <w:rsid w:val="007A5AB1"/>
    <w:pPr>
      <w:ind w:left="720"/>
      <w:contextualSpacing/>
    </w:pPr>
    <w:rPr>
      <w:rFonts w:eastAsia="Times New Roman"/>
      <w:lang w:eastAsia="uk-UA"/>
    </w:rPr>
  </w:style>
  <w:style w:type="paragraph" w:styleId="a5">
    <w:name w:val="Normal (Web)"/>
    <w:basedOn w:val="a"/>
    <w:uiPriority w:val="99"/>
    <w:unhideWhenUsed/>
    <w:rsid w:val="00B458A9"/>
    <w:pPr>
      <w:spacing w:before="100" w:beforeAutospacing="1" w:after="100" w:afterAutospacing="1"/>
    </w:pPr>
    <w:rPr>
      <w:rFonts w:eastAsia="Times New Roman"/>
      <w:u w:color="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10277</Words>
  <Characters>5859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ВетМед</dc:creator>
  <cp:lastModifiedBy>admin</cp:lastModifiedBy>
  <cp:revision>2</cp:revision>
  <dcterms:created xsi:type="dcterms:W3CDTF">2023-05-25T11:38:00Z</dcterms:created>
  <dcterms:modified xsi:type="dcterms:W3CDTF">2023-05-25T11:38:00Z</dcterms:modified>
</cp:coreProperties>
</file>