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2C0838" w:rsidRDefault="00DF65E9" w:rsidP="002D1218">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532EDF" w:rsidRPr="00DD5868">
        <w:rPr>
          <w:b/>
          <w:i/>
          <w:szCs w:val="24"/>
        </w:rPr>
        <w:t>Меблі медичного</w:t>
      </w:r>
      <w:r w:rsidR="00532EDF">
        <w:rPr>
          <w:b/>
          <w:i/>
          <w:szCs w:val="24"/>
        </w:rPr>
        <w:t xml:space="preserve"> призначення та Фетальний монітор</w:t>
      </w:r>
      <w:r w:rsidR="00532EDF" w:rsidRPr="00DD5868">
        <w:rPr>
          <w:b/>
          <w:i/>
          <w:szCs w:val="24"/>
        </w:rPr>
        <w:t xml:space="preserve"> з контролем фізіологічних параметрів матері</w:t>
      </w:r>
      <w:r w:rsidR="00532EDF" w:rsidRPr="00515015">
        <w:rPr>
          <w:b/>
          <w:i/>
          <w:szCs w:val="24"/>
        </w:rPr>
        <w:t xml:space="preserve"> за кодом ДК 021-2015- </w:t>
      </w:r>
      <w:r w:rsidR="00532EDF">
        <w:rPr>
          <w:b/>
          <w:i/>
          <w:szCs w:val="24"/>
        </w:rPr>
        <w:t xml:space="preserve">33190000-8 - </w:t>
      </w:r>
      <w:r w:rsidR="00532EDF" w:rsidRPr="00DD5868">
        <w:rPr>
          <w:b/>
          <w:i/>
          <w:szCs w:val="24"/>
        </w:rPr>
        <w:t xml:space="preserve">Медичне обладнання та вироби </w:t>
      </w:r>
      <w:r w:rsidR="00532EDF">
        <w:rPr>
          <w:b/>
          <w:i/>
          <w:szCs w:val="24"/>
        </w:rPr>
        <w:t>медичного призначення різні</w:t>
      </w:r>
      <w:r w:rsidR="00532EDF"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FA5970" w:rsidRDefault="00DF65E9" w:rsidP="00FA5970">
      <w:pPr>
        <w:pStyle w:val="aa"/>
        <w:spacing w:before="0" w:beforeAutospacing="0" w:after="0" w:afterAutospacing="0" w:line="276" w:lineRule="auto"/>
        <w:ind w:firstLine="567"/>
        <w:jc w:val="both"/>
        <w:rPr>
          <w:sz w:val="23"/>
          <w:szCs w:val="23"/>
        </w:rPr>
      </w:pPr>
      <w:r w:rsidRPr="00502BC4">
        <w:rPr>
          <w:sz w:val="23"/>
          <w:szCs w:val="23"/>
        </w:rPr>
        <w:t xml:space="preserve">3.2. </w:t>
      </w:r>
      <w:r w:rsidR="00FA5970">
        <w:t>Доставка, встановлення</w:t>
      </w:r>
      <w:r w:rsidR="00FA5970" w:rsidRPr="007861C2">
        <w:t xml:space="preserve"> та пуск </w:t>
      </w:r>
      <w:r w:rsidR="00FA5970">
        <w:t>кондиціонерів</w:t>
      </w:r>
      <w:r w:rsidR="00FA5970" w:rsidRPr="007861C2">
        <w:t xml:space="preserve"> проводиться за рахунок </w:t>
      </w:r>
      <w:r w:rsidR="00FA5970">
        <w:t>Постачальника.</w:t>
      </w:r>
    </w:p>
    <w:p w:rsidR="00DF65E9" w:rsidRPr="00502BC4" w:rsidRDefault="00FA5970" w:rsidP="007D5CEF">
      <w:pPr>
        <w:pStyle w:val="aa"/>
        <w:spacing w:before="0" w:beforeAutospacing="0" w:after="0" w:afterAutospacing="0" w:line="276" w:lineRule="auto"/>
        <w:ind w:firstLine="567"/>
        <w:jc w:val="both"/>
        <w:rPr>
          <w:sz w:val="23"/>
          <w:szCs w:val="23"/>
        </w:rPr>
      </w:pPr>
      <w:r>
        <w:rPr>
          <w:sz w:val="23"/>
          <w:szCs w:val="23"/>
        </w:rPr>
        <w:t xml:space="preserve">3.3. </w:t>
      </w:r>
      <w:r w:rsidR="00DF65E9" w:rsidRPr="00502BC4">
        <w:rPr>
          <w:sz w:val="23"/>
          <w:szCs w:val="23"/>
        </w:rPr>
        <w:t>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0C1940">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1516FF">
        <w:rPr>
          <w:b/>
          <w:i/>
          <w:sz w:val="23"/>
          <w:szCs w:val="23"/>
        </w:rPr>
        <w:t xml:space="preserve">не пізніше </w:t>
      </w:r>
      <w:r w:rsidR="00532EDF">
        <w:rPr>
          <w:b/>
          <w:i/>
          <w:sz w:val="23"/>
          <w:szCs w:val="23"/>
        </w:rPr>
        <w:t>31</w:t>
      </w:r>
      <w:r w:rsidR="002C0838" w:rsidRPr="00817087">
        <w:rPr>
          <w:b/>
          <w:i/>
          <w:sz w:val="23"/>
          <w:szCs w:val="23"/>
        </w:rPr>
        <w:t>.</w:t>
      </w:r>
      <w:r w:rsidR="00532EDF">
        <w:rPr>
          <w:b/>
          <w:i/>
          <w:sz w:val="23"/>
          <w:szCs w:val="23"/>
        </w:rPr>
        <w:t>10</w:t>
      </w:r>
      <w:r w:rsidR="00675690" w:rsidRPr="00817087">
        <w:rPr>
          <w:b/>
          <w:i/>
          <w:sz w:val="23"/>
          <w:szCs w:val="23"/>
        </w:rPr>
        <w:t>.2023</w:t>
      </w:r>
      <w:r w:rsidR="00DC3AB2" w:rsidRPr="00817087">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lastRenderedPageBreak/>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w:t>
      </w:r>
      <w:r w:rsidRPr="00925397">
        <w:lastRenderedPageBreak/>
        <w:t xml:space="preserve">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w:t>
      </w:r>
      <w:r w:rsidR="00A06EE3" w:rsidRPr="00A06EE3">
        <w:rPr>
          <w:sz w:val="23"/>
          <w:szCs w:val="23"/>
        </w:rPr>
        <w:lastRenderedPageBreak/>
        <w:t>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 xml:space="preserve">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w:t>
      </w:r>
      <w:r>
        <w:lastRenderedPageBreak/>
        <w:t>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532D3B" w:rsidP="00532EDF">
            <w:pPr>
              <w:suppressAutoHyphens w:val="0"/>
              <w:jc w:val="center"/>
              <w:rPr>
                <w:b/>
                <w:bCs/>
                <w:sz w:val="22"/>
                <w:szCs w:val="22"/>
                <w:lang w:eastAsia="en-US"/>
              </w:rPr>
            </w:pPr>
            <w:r>
              <w:rPr>
                <w:b/>
                <w:bCs/>
                <w:sz w:val="22"/>
                <w:szCs w:val="22"/>
                <w:lang w:eastAsia="en-US"/>
              </w:rPr>
              <w:t>Код Н</w:t>
            </w:r>
            <w:bookmarkStart w:id="0" w:name="_GoBack"/>
            <w:bookmarkEnd w:id="0"/>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E7" w:rsidRDefault="005835E7">
      <w:r>
        <w:separator/>
      </w:r>
    </w:p>
  </w:endnote>
  <w:endnote w:type="continuationSeparator" w:id="0">
    <w:p w:rsidR="005835E7" w:rsidRDefault="005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5835E7"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E7" w:rsidRDefault="005835E7">
      <w:r>
        <w:separator/>
      </w:r>
    </w:p>
  </w:footnote>
  <w:footnote w:type="continuationSeparator" w:id="0">
    <w:p w:rsidR="005835E7" w:rsidRDefault="0058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15EBC"/>
    <w:rsid w:val="00031353"/>
    <w:rsid w:val="00054C88"/>
    <w:rsid w:val="000776D7"/>
    <w:rsid w:val="000865F7"/>
    <w:rsid w:val="000A613D"/>
    <w:rsid w:val="000C1940"/>
    <w:rsid w:val="000C7C2B"/>
    <w:rsid w:val="000E18FE"/>
    <w:rsid w:val="000E4FD0"/>
    <w:rsid w:val="00125787"/>
    <w:rsid w:val="001379E5"/>
    <w:rsid w:val="00145FB3"/>
    <w:rsid w:val="001516FF"/>
    <w:rsid w:val="00166AAD"/>
    <w:rsid w:val="001830CB"/>
    <w:rsid w:val="001964C5"/>
    <w:rsid w:val="001D4589"/>
    <w:rsid w:val="001F2950"/>
    <w:rsid w:val="0021626E"/>
    <w:rsid w:val="00224DF6"/>
    <w:rsid w:val="002262F1"/>
    <w:rsid w:val="002536E5"/>
    <w:rsid w:val="0029043C"/>
    <w:rsid w:val="002B5C99"/>
    <w:rsid w:val="002C0838"/>
    <w:rsid w:val="002C595D"/>
    <w:rsid w:val="002D1218"/>
    <w:rsid w:val="002D6C5A"/>
    <w:rsid w:val="00302411"/>
    <w:rsid w:val="00304772"/>
    <w:rsid w:val="00312BD8"/>
    <w:rsid w:val="00313F69"/>
    <w:rsid w:val="00344E47"/>
    <w:rsid w:val="00363CE6"/>
    <w:rsid w:val="0037058F"/>
    <w:rsid w:val="0039345C"/>
    <w:rsid w:val="003A5512"/>
    <w:rsid w:val="003E3E8C"/>
    <w:rsid w:val="003E76EF"/>
    <w:rsid w:val="004273A4"/>
    <w:rsid w:val="0044083A"/>
    <w:rsid w:val="0046521D"/>
    <w:rsid w:val="00465B42"/>
    <w:rsid w:val="00467377"/>
    <w:rsid w:val="00467F71"/>
    <w:rsid w:val="00486B7D"/>
    <w:rsid w:val="004C3718"/>
    <w:rsid w:val="004F31B8"/>
    <w:rsid w:val="00502BC4"/>
    <w:rsid w:val="00532D3B"/>
    <w:rsid w:val="00532EDF"/>
    <w:rsid w:val="005606FE"/>
    <w:rsid w:val="00562FEF"/>
    <w:rsid w:val="005835E7"/>
    <w:rsid w:val="005A5790"/>
    <w:rsid w:val="005B1431"/>
    <w:rsid w:val="005E4F09"/>
    <w:rsid w:val="006534D0"/>
    <w:rsid w:val="00662352"/>
    <w:rsid w:val="00667489"/>
    <w:rsid w:val="00675690"/>
    <w:rsid w:val="006A02F0"/>
    <w:rsid w:val="006A5CC1"/>
    <w:rsid w:val="006A5EDC"/>
    <w:rsid w:val="006B042C"/>
    <w:rsid w:val="006B0EA1"/>
    <w:rsid w:val="006B44FB"/>
    <w:rsid w:val="006C0CDE"/>
    <w:rsid w:val="006C67AE"/>
    <w:rsid w:val="007325D4"/>
    <w:rsid w:val="0074567F"/>
    <w:rsid w:val="00763978"/>
    <w:rsid w:val="007702EE"/>
    <w:rsid w:val="0078592F"/>
    <w:rsid w:val="00796139"/>
    <w:rsid w:val="007C0F3C"/>
    <w:rsid w:val="007D5CEF"/>
    <w:rsid w:val="007D682E"/>
    <w:rsid w:val="007E7985"/>
    <w:rsid w:val="007F3536"/>
    <w:rsid w:val="007F7F9F"/>
    <w:rsid w:val="00805812"/>
    <w:rsid w:val="00816E38"/>
    <w:rsid w:val="00817087"/>
    <w:rsid w:val="00863B75"/>
    <w:rsid w:val="0086510A"/>
    <w:rsid w:val="00865E58"/>
    <w:rsid w:val="00893048"/>
    <w:rsid w:val="00894E0D"/>
    <w:rsid w:val="008D70B2"/>
    <w:rsid w:val="00902227"/>
    <w:rsid w:val="009078BA"/>
    <w:rsid w:val="00925397"/>
    <w:rsid w:val="00942F3D"/>
    <w:rsid w:val="00961230"/>
    <w:rsid w:val="00985A5B"/>
    <w:rsid w:val="00992F96"/>
    <w:rsid w:val="009E279E"/>
    <w:rsid w:val="009E42E0"/>
    <w:rsid w:val="009F1F2B"/>
    <w:rsid w:val="00A06EE3"/>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A4ACF"/>
    <w:rsid w:val="00CB2D37"/>
    <w:rsid w:val="00CC4BBC"/>
    <w:rsid w:val="00CC7B46"/>
    <w:rsid w:val="00CD579E"/>
    <w:rsid w:val="00CF61BA"/>
    <w:rsid w:val="00D47714"/>
    <w:rsid w:val="00D63A0E"/>
    <w:rsid w:val="00D65C2A"/>
    <w:rsid w:val="00D92DD0"/>
    <w:rsid w:val="00DC3AB2"/>
    <w:rsid w:val="00DF65E9"/>
    <w:rsid w:val="00E076AC"/>
    <w:rsid w:val="00E5657A"/>
    <w:rsid w:val="00E6706C"/>
    <w:rsid w:val="00E742B9"/>
    <w:rsid w:val="00E825F7"/>
    <w:rsid w:val="00EF6470"/>
    <w:rsid w:val="00F315AC"/>
    <w:rsid w:val="00F576E4"/>
    <w:rsid w:val="00F63CA5"/>
    <w:rsid w:val="00F81065"/>
    <w:rsid w:val="00FA001F"/>
    <w:rsid w:val="00FA0F37"/>
    <w:rsid w:val="00FA5970"/>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4BBC"/>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46047989">
      <w:bodyDiv w:val="1"/>
      <w:marLeft w:val="0"/>
      <w:marRight w:val="0"/>
      <w:marTop w:val="0"/>
      <w:marBottom w:val="0"/>
      <w:divBdr>
        <w:top w:val="none" w:sz="0" w:space="0" w:color="auto"/>
        <w:left w:val="none" w:sz="0" w:space="0" w:color="auto"/>
        <w:bottom w:val="none" w:sz="0" w:space="0" w:color="auto"/>
        <w:right w:val="none" w:sz="0" w:space="0" w:color="auto"/>
      </w:divBdr>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851409744">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14011</Words>
  <Characters>7987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67</cp:revision>
  <cp:lastPrinted>2022-03-23T08:06:00Z</cp:lastPrinted>
  <dcterms:created xsi:type="dcterms:W3CDTF">2022-09-29T11:43:00Z</dcterms:created>
  <dcterms:modified xsi:type="dcterms:W3CDTF">2023-09-20T07:39:00Z</dcterms:modified>
</cp:coreProperties>
</file>