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6E3EE660" w:rsidR="00663498" w:rsidRPr="000F5906" w:rsidRDefault="00B7618E" w:rsidP="00663498">
      <w:pPr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Ефір діетиловий (ефір для наркозу) </w:t>
      </w:r>
      <w:r>
        <w:rPr>
          <w:b/>
          <w:color w:val="000000"/>
          <w:sz w:val="28"/>
          <w:szCs w:val="28"/>
          <w:lang w:val="en-US"/>
        </w:rPr>
        <w:t>C</w:t>
      </w:r>
      <w:r w:rsidRPr="00BC651A">
        <w:rPr>
          <w:b/>
          <w:color w:val="000000"/>
          <w:sz w:val="28"/>
          <w:szCs w:val="28"/>
          <w:lang w:val="uk-UA"/>
        </w:rPr>
        <w:t>4</w:t>
      </w:r>
      <w:r>
        <w:rPr>
          <w:b/>
          <w:color w:val="000000"/>
          <w:sz w:val="28"/>
          <w:szCs w:val="28"/>
          <w:lang w:val="en-US"/>
        </w:rPr>
        <w:t>H</w:t>
      </w:r>
      <w:r w:rsidRPr="00BC651A">
        <w:rPr>
          <w:b/>
          <w:color w:val="000000"/>
          <w:sz w:val="28"/>
          <w:szCs w:val="28"/>
          <w:lang w:val="uk-UA"/>
        </w:rPr>
        <w:t>10</w:t>
      </w:r>
      <w:r>
        <w:rPr>
          <w:b/>
          <w:color w:val="000000"/>
          <w:sz w:val="28"/>
          <w:szCs w:val="28"/>
          <w:lang w:val="en-US"/>
        </w:rPr>
        <w:t>O</w:t>
      </w:r>
      <w:r w:rsidRPr="00BC651A">
        <w:rPr>
          <w:b/>
          <w:color w:val="000000"/>
          <w:sz w:val="28"/>
          <w:szCs w:val="28"/>
          <w:lang w:val="uk-UA"/>
        </w:rPr>
        <w:t xml:space="preserve"> – 1л</w:t>
      </w:r>
      <w:r w:rsidR="000F5906" w:rsidRPr="000F5906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BC651A" w:rsidRPr="00BC651A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24320000-3: Основні органічні хімічні речовини.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6E7ED0D7" w14:textId="77777777" w:rsidR="00B7618E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</w:p>
    <w:p w14:paraId="2B7E8C09" w14:textId="617F5F7B" w:rsidR="002E5713" w:rsidRPr="000F5906" w:rsidRDefault="000F5906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  <w:r w:rsidRPr="000F5906"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0F5906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0F5906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Одиницявиміру</w:t>
            </w:r>
          </w:p>
        </w:tc>
        <w:tc>
          <w:tcPr>
            <w:tcW w:w="850" w:type="dxa"/>
            <w:vAlign w:val="center"/>
          </w:tcPr>
          <w:p w14:paraId="0FB8454C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 xml:space="preserve">К-сть </w:t>
            </w:r>
          </w:p>
        </w:tc>
      </w:tr>
      <w:tr w:rsidR="000615EF" w:rsidRPr="000F5906" w14:paraId="1963F4E8" w14:textId="77777777" w:rsidTr="000615EF">
        <w:tc>
          <w:tcPr>
            <w:tcW w:w="562" w:type="dxa"/>
            <w:vAlign w:val="center"/>
          </w:tcPr>
          <w:p w14:paraId="63E52525" w14:textId="77777777" w:rsidR="000615EF" w:rsidRPr="000F5906" w:rsidRDefault="000615EF" w:rsidP="00DE1602">
            <w:pPr>
              <w:jc w:val="center"/>
              <w:rPr>
                <w:sz w:val="20"/>
                <w:szCs w:val="20"/>
              </w:rPr>
            </w:pPr>
            <w:r w:rsidRPr="000F59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1AAEE838" w:rsidR="000615EF" w:rsidRPr="000F5906" w:rsidRDefault="00B7618E" w:rsidP="00DE1602">
            <w:pPr>
              <w:jc w:val="center"/>
              <w:rPr>
                <w:sz w:val="20"/>
                <w:szCs w:val="20"/>
              </w:rPr>
            </w:pPr>
            <w:r w:rsidRPr="00B7618E">
              <w:rPr>
                <w:sz w:val="20"/>
                <w:szCs w:val="20"/>
              </w:rPr>
              <w:t>Ефір діетиловий (ефір для наркозу) C4H10O – 1л</w:t>
            </w:r>
          </w:p>
        </w:tc>
        <w:tc>
          <w:tcPr>
            <w:tcW w:w="5641" w:type="dxa"/>
            <w:vAlign w:val="center"/>
          </w:tcPr>
          <w:p w14:paraId="116A3C51" w14:textId="77777777" w:rsidR="00B7618E" w:rsidRDefault="00B7618E" w:rsidP="00B7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Опис: прозора, безбарвна рідина, летка, дуже рухлива. </w:t>
            </w:r>
            <w:r>
              <w:rPr>
                <w:sz w:val="20"/>
                <w:szCs w:val="20"/>
              </w:rPr>
              <w:br/>
              <w:t>Розчинність: розчинний у 15 частинах води Р, змішується з етанолом (96%)Р і жирними оліями;</w:t>
            </w:r>
            <w:r>
              <w:rPr>
                <w:sz w:val="20"/>
                <w:szCs w:val="20"/>
              </w:rPr>
              <w:br/>
              <w:t>Відносна густина: 0,714-0,716;</w:t>
            </w:r>
            <w:r>
              <w:rPr>
                <w:sz w:val="20"/>
                <w:szCs w:val="20"/>
              </w:rPr>
              <w:br/>
              <w:t>Температурні межі перегонки: 34,0-35,0 С;</w:t>
            </w:r>
            <w:r>
              <w:rPr>
                <w:sz w:val="20"/>
                <w:szCs w:val="20"/>
              </w:rPr>
              <w:br/>
              <w:t xml:space="preserve">Ацетон і альдегіди: у нижньому шарі має спостерігатися слаба опалесценція; </w:t>
            </w:r>
            <w:r>
              <w:rPr>
                <w:sz w:val="20"/>
                <w:szCs w:val="20"/>
              </w:rPr>
              <w:br/>
              <w:t xml:space="preserve">Пероксиди: розчин не має забарвлюватися; </w:t>
            </w:r>
          </w:p>
          <w:p w14:paraId="4AE8D773" w14:textId="77777777" w:rsidR="00B7618E" w:rsidRDefault="00B7618E" w:rsidP="00B7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Непеткий залишок: не більше 20мг/л</w:t>
            </w:r>
          </w:p>
          <w:p w14:paraId="03D98AC6" w14:textId="77777777" w:rsidR="00B7618E" w:rsidRDefault="00B7618E" w:rsidP="00B7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Речовини зі стороннім запахом: не має відчуватися сторонній запах;</w:t>
            </w:r>
          </w:p>
          <w:p w14:paraId="4ED04022" w14:textId="2399E1FD" w:rsidR="00B7618E" w:rsidRPr="000F5906" w:rsidRDefault="00B7618E" w:rsidP="00B7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Вода: не більше 2г/л;</w:t>
            </w:r>
          </w:p>
        </w:tc>
        <w:tc>
          <w:tcPr>
            <w:tcW w:w="1134" w:type="dxa"/>
            <w:vAlign w:val="center"/>
          </w:tcPr>
          <w:p w14:paraId="26394500" w14:textId="625D862F" w:rsidR="000615EF" w:rsidRPr="000F5906" w:rsidRDefault="00B7618E" w:rsidP="003D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</w:t>
            </w:r>
            <w:r w:rsidR="000615EF" w:rsidRPr="000F590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18D302" w14:textId="4C2ADBBC" w:rsidR="000615EF" w:rsidRPr="000F5906" w:rsidRDefault="00B7618E" w:rsidP="003D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15EF" w:rsidRPr="000F5906">
              <w:rPr>
                <w:sz w:val="20"/>
                <w:szCs w:val="20"/>
              </w:rPr>
              <w:t>0</w:t>
            </w:r>
          </w:p>
        </w:tc>
      </w:tr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5CD4" w14:textId="77777777" w:rsidR="000363C1" w:rsidRDefault="000363C1" w:rsidP="005D356F">
      <w:r>
        <w:separator/>
      </w:r>
    </w:p>
  </w:endnote>
  <w:endnote w:type="continuationSeparator" w:id="0">
    <w:p w14:paraId="6B3953C5" w14:textId="77777777" w:rsidR="000363C1" w:rsidRDefault="000363C1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3810" w14:textId="77777777" w:rsidR="000363C1" w:rsidRDefault="000363C1" w:rsidP="005D356F">
      <w:r>
        <w:separator/>
      </w:r>
    </w:p>
  </w:footnote>
  <w:footnote w:type="continuationSeparator" w:id="0">
    <w:p w14:paraId="5F827A44" w14:textId="77777777" w:rsidR="000363C1" w:rsidRDefault="000363C1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363C1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A4A0E"/>
    <w:rsid w:val="001A65CF"/>
    <w:rsid w:val="001B11D3"/>
    <w:rsid w:val="00220733"/>
    <w:rsid w:val="002761DD"/>
    <w:rsid w:val="00287A12"/>
    <w:rsid w:val="002E5713"/>
    <w:rsid w:val="00327F77"/>
    <w:rsid w:val="0035149C"/>
    <w:rsid w:val="00353148"/>
    <w:rsid w:val="003917E0"/>
    <w:rsid w:val="0039270C"/>
    <w:rsid w:val="003A42C5"/>
    <w:rsid w:val="003D346C"/>
    <w:rsid w:val="00401B17"/>
    <w:rsid w:val="0045334F"/>
    <w:rsid w:val="0046356B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410B"/>
    <w:rsid w:val="006B37C6"/>
    <w:rsid w:val="006D0724"/>
    <w:rsid w:val="006F4A43"/>
    <w:rsid w:val="006F66E7"/>
    <w:rsid w:val="00715182"/>
    <w:rsid w:val="00770669"/>
    <w:rsid w:val="007A0C3A"/>
    <w:rsid w:val="00856190"/>
    <w:rsid w:val="008A6059"/>
    <w:rsid w:val="008B178E"/>
    <w:rsid w:val="008C282B"/>
    <w:rsid w:val="008C37CE"/>
    <w:rsid w:val="008D4885"/>
    <w:rsid w:val="008F252C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724BF"/>
    <w:rsid w:val="00B7618E"/>
    <w:rsid w:val="00B95AA1"/>
    <w:rsid w:val="00BC651A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E1602"/>
    <w:rsid w:val="00E3070A"/>
    <w:rsid w:val="00E434C3"/>
    <w:rsid w:val="00EC05E1"/>
    <w:rsid w:val="00EC5C16"/>
    <w:rsid w:val="00F13E25"/>
    <w:rsid w:val="00F62124"/>
    <w:rsid w:val="00F8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17</cp:revision>
  <dcterms:created xsi:type="dcterms:W3CDTF">2023-10-07T17:18:00Z</dcterms:created>
  <dcterms:modified xsi:type="dcterms:W3CDTF">2024-04-08T06:33:00Z</dcterms:modified>
</cp:coreProperties>
</file>