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2CDBC" w14:textId="77777777" w:rsidR="00157D86" w:rsidRPr="00054D56" w:rsidRDefault="00157D86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bookmarkStart w:id="0" w:name="_Hlk84268551"/>
      <w:bookmarkStart w:id="1" w:name="_Hlk25154769"/>
    </w:p>
    <w:p w14:paraId="0B4A97FD" w14:textId="44E889FF" w:rsidR="008B6A3E" w:rsidRPr="00677F29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Протокол № 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516196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A87952">
        <w:rPr>
          <w:rFonts w:ascii="Times New Roman" w:hAnsi="Times New Roman" w:cs="Times New Roman"/>
          <w:b/>
          <w:bCs/>
          <w:sz w:val="25"/>
          <w:szCs w:val="25"/>
        </w:rPr>
        <w:t>/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0</w:t>
      </w:r>
      <w:r w:rsidR="00CE640F">
        <w:rPr>
          <w:rFonts w:ascii="Times New Roman" w:hAnsi="Times New Roman" w:cs="Times New Roman"/>
          <w:b/>
          <w:bCs/>
          <w:sz w:val="25"/>
          <w:szCs w:val="25"/>
        </w:rPr>
        <w:t>2</w:t>
      </w:r>
      <w:r>
        <w:rPr>
          <w:rFonts w:ascii="Times New Roman" w:hAnsi="Times New Roman" w:cs="Times New Roman"/>
          <w:b/>
          <w:bCs/>
          <w:sz w:val="25"/>
          <w:szCs w:val="25"/>
        </w:rPr>
        <w:t>-2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 w:rsidR="004470EC">
        <w:rPr>
          <w:rFonts w:ascii="Times New Roman" w:hAnsi="Times New Roman" w:cs="Times New Roman"/>
          <w:b/>
          <w:bCs/>
          <w:sz w:val="25"/>
          <w:szCs w:val="25"/>
        </w:rPr>
        <w:t>-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>1</w:t>
      </w:r>
    </w:p>
    <w:p w14:paraId="47B576AA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Уповноваженого з публічних </w:t>
      </w:r>
      <w:proofErr w:type="spellStart"/>
      <w:r>
        <w:rPr>
          <w:rFonts w:ascii="Times New Roman" w:hAnsi="Times New Roman" w:cs="Times New Roman"/>
          <w:b/>
          <w:bCs/>
          <w:sz w:val="25"/>
          <w:szCs w:val="25"/>
        </w:rPr>
        <w:t>закупівель</w:t>
      </w:r>
      <w:proofErr w:type="spellEnd"/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1796229D" w14:textId="77777777" w:rsidR="008B6A3E" w:rsidRDefault="008B6A3E" w:rsidP="008B6A3E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Відокремленого структурного підрозділу «Олімпійський фаховий коледж імені Івана Піддубного Національного університету фізичного виховання і спорту України»  </w:t>
      </w:r>
    </w:p>
    <w:p w14:paraId="1483B8E0" w14:textId="051BE00B" w:rsidR="008B6A3E" w:rsidRPr="00157D86" w:rsidRDefault="008B6A3E" w:rsidP="00157D86">
      <w:pPr>
        <w:spacing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 Київ    </w:t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</w:r>
      <w:r>
        <w:rPr>
          <w:rFonts w:ascii="Times New Roman" w:hAnsi="Times New Roman" w:cs="Times New Roman"/>
          <w:b/>
          <w:sz w:val="25"/>
          <w:szCs w:val="25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bCs/>
          <w:sz w:val="25"/>
          <w:szCs w:val="25"/>
        </w:rPr>
        <w:t>«</w:t>
      </w:r>
      <w:r w:rsidR="00575417">
        <w:rPr>
          <w:rFonts w:ascii="Times New Roman" w:hAnsi="Times New Roman" w:cs="Times New Roman"/>
          <w:b/>
          <w:bCs/>
          <w:sz w:val="25"/>
          <w:szCs w:val="25"/>
        </w:rPr>
        <w:t>1</w:t>
      </w:r>
      <w:r w:rsidR="00516196">
        <w:rPr>
          <w:rFonts w:ascii="Times New Roman" w:hAnsi="Times New Roman" w:cs="Times New Roman"/>
          <w:b/>
          <w:bCs/>
          <w:sz w:val="25"/>
          <w:szCs w:val="25"/>
        </w:rPr>
        <w:t>3</w:t>
      </w:r>
      <w:r w:rsidR="000D58E5">
        <w:rPr>
          <w:rFonts w:ascii="Times New Roman" w:hAnsi="Times New Roman" w:cs="Times New Roman"/>
          <w:b/>
          <w:bCs/>
          <w:sz w:val="25"/>
          <w:szCs w:val="25"/>
        </w:rPr>
        <w:t xml:space="preserve">» </w:t>
      </w:r>
      <w:r w:rsidR="00CE640F">
        <w:rPr>
          <w:rFonts w:ascii="Times New Roman" w:hAnsi="Times New Roman" w:cs="Times New Roman"/>
          <w:b/>
          <w:bCs/>
          <w:sz w:val="25"/>
          <w:szCs w:val="25"/>
          <w:lang w:val="ru-RU"/>
        </w:rPr>
        <w:t>лютого</w:t>
      </w:r>
      <w:r w:rsidR="00C17413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F5727B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/>
          <w:bCs/>
          <w:sz w:val="25"/>
          <w:szCs w:val="25"/>
        </w:rPr>
        <w:t>202</w:t>
      </w:r>
      <w:r w:rsidR="00FB2637">
        <w:rPr>
          <w:rFonts w:ascii="Times New Roman" w:hAnsi="Times New Roman" w:cs="Times New Roman"/>
          <w:b/>
          <w:bCs/>
          <w:sz w:val="25"/>
          <w:szCs w:val="25"/>
        </w:rPr>
        <w:t>4</w:t>
      </w:r>
      <w:r>
        <w:rPr>
          <w:rFonts w:ascii="Times New Roman" w:hAnsi="Times New Roman" w:cs="Times New Roman"/>
          <w:b/>
          <w:bCs/>
          <w:sz w:val="25"/>
          <w:szCs w:val="25"/>
        </w:rPr>
        <w:t xml:space="preserve"> року</w:t>
      </w:r>
      <w:bookmarkEnd w:id="0"/>
    </w:p>
    <w:p w14:paraId="1C58131D" w14:textId="77777777" w:rsidR="008B6A3E" w:rsidRDefault="008B6A3E" w:rsidP="008B6A3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денний: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1"/>
    </w:p>
    <w:p w14:paraId="6D346040" w14:textId="518F463A" w:rsidR="008B6A3E" w:rsidRPr="00E3210E" w:rsidRDefault="008B6A3E" w:rsidP="00E3210E">
      <w:pPr>
        <w:pStyle w:val="a3"/>
        <w:numPr>
          <w:ilvl w:val="1"/>
          <w:numId w:val="1"/>
        </w:numPr>
        <w:tabs>
          <w:tab w:val="clear" w:pos="360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оприлюднення звіту про </w:t>
      </w:r>
      <w:bookmarkStart w:id="2" w:name="_Hlk37170023"/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</w:t>
      </w:r>
      <w:r w:rsidR="00D872E6">
        <w:rPr>
          <w:rFonts w:ascii="Times New Roman" w:hAnsi="Times New Roman" w:cs="Times New Roman"/>
          <w:sz w:val="24"/>
          <w:szCs w:val="24"/>
        </w:rPr>
        <w:t xml:space="preserve"> </w:t>
      </w:r>
      <w:r w:rsidR="00575417" w:rsidRPr="00575417">
        <w:rPr>
          <w:rFonts w:ascii="Times New Roman" w:hAnsi="Times New Roman" w:cs="Times New Roman"/>
          <w:sz w:val="24"/>
          <w:szCs w:val="24"/>
        </w:rPr>
        <w:t xml:space="preserve">Надання </w:t>
      </w:r>
      <w:proofErr w:type="spellStart"/>
      <w:r w:rsidR="00575417" w:rsidRPr="00575417">
        <w:rPr>
          <w:rFonts w:ascii="Times New Roman" w:hAnsi="Times New Roman" w:cs="Times New Roman"/>
          <w:sz w:val="24"/>
          <w:szCs w:val="24"/>
        </w:rPr>
        <w:t>пocлyг</w:t>
      </w:r>
      <w:proofErr w:type="spellEnd"/>
      <w:r w:rsidR="00575417" w:rsidRPr="00575417">
        <w:rPr>
          <w:rFonts w:ascii="Times New Roman" w:hAnsi="Times New Roman" w:cs="Times New Roman"/>
          <w:sz w:val="24"/>
          <w:szCs w:val="24"/>
        </w:rPr>
        <w:t xml:space="preserve"> щодо погодження та розмежування балансової </w:t>
      </w:r>
      <w:proofErr w:type="spellStart"/>
      <w:r w:rsidR="00575417" w:rsidRPr="00575417">
        <w:rPr>
          <w:rFonts w:ascii="Times New Roman" w:hAnsi="Times New Roman" w:cs="Times New Roman"/>
          <w:sz w:val="24"/>
          <w:szCs w:val="24"/>
        </w:rPr>
        <w:t>належностi</w:t>
      </w:r>
      <w:proofErr w:type="spellEnd"/>
      <w:r w:rsidR="00575417" w:rsidRPr="0057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17" w:rsidRPr="00575417">
        <w:rPr>
          <w:rFonts w:ascii="Times New Roman" w:hAnsi="Times New Roman" w:cs="Times New Roman"/>
          <w:sz w:val="24"/>
          <w:szCs w:val="24"/>
        </w:rPr>
        <w:t>каналiзацiйних</w:t>
      </w:r>
      <w:proofErr w:type="spellEnd"/>
      <w:r w:rsidR="00575417" w:rsidRPr="00575417">
        <w:rPr>
          <w:rFonts w:ascii="Times New Roman" w:hAnsi="Times New Roman" w:cs="Times New Roman"/>
          <w:sz w:val="24"/>
          <w:szCs w:val="24"/>
        </w:rPr>
        <w:t xml:space="preserve"> мереж</w:t>
      </w:r>
      <w:r w:rsidR="00575417" w:rsidRPr="00575417">
        <w:rPr>
          <w:rFonts w:ascii="Times New Roman" w:hAnsi="Times New Roman" w:cs="Times New Roman"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>(далі -</w:t>
      </w:r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Закупівля</w:t>
      </w:r>
      <w:r w:rsidRPr="00E3210E">
        <w:rPr>
          <w:rFonts w:ascii="Times New Roman" w:hAnsi="Times New Roman" w:cs="Times New Roman"/>
          <w:sz w:val="24"/>
          <w:szCs w:val="24"/>
        </w:rPr>
        <w:t>)</w:t>
      </w:r>
      <w:bookmarkEnd w:id="2"/>
      <w:r w:rsidRPr="00E321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3210E">
        <w:rPr>
          <w:rFonts w:ascii="Times New Roman" w:hAnsi="Times New Roman" w:cs="Times New Roman"/>
          <w:sz w:val="24"/>
          <w:szCs w:val="24"/>
        </w:rPr>
        <w:t xml:space="preserve">відповідно до Постанови Кабінету Міністрів України «Про затвердження особливостей здійснення публічних </w:t>
      </w:r>
      <w:proofErr w:type="spellStart"/>
      <w:r w:rsidRPr="00E3210E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E3210E">
        <w:rPr>
          <w:rFonts w:ascii="Times New Roman" w:hAnsi="Times New Roman" w:cs="Times New Roman"/>
          <w:sz w:val="24"/>
          <w:szCs w:val="24"/>
        </w:rPr>
        <w:t xml:space="preserve">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 жовтня 2022 р. № 1178 (далі – Постанова КМУ №1178).</w:t>
      </w:r>
    </w:p>
    <w:p w14:paraId="0D5D6194" w14:textId="77777777" w:rsidR="008B6A3E" w:rsidRDefault="008B6A3E" w:rsidP="008B6A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Під час розгляду першого питання порядку денного:</w:t>
      </w:r>
    </w:p>
    <w:p w14:paraId="527514A6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Відповідно до пункту 11 Особливостей згідно Постанови КМУ №1178 для здійснення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товарів і послуг (крім послуг з поточного ремонту), вартість яких є меншою ніж 100 тис. гривень, послуг з поточного ремонту, вартість яких є меншою ніж 200 тис. гривень, робіт, вартість яких є меншою ніж 1,5 млн гривень, замовники можуть використовувати електронну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відповідно до умов, визначених адміністратором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тому числі електронний каталог для закупівлі товарів. У разі здійснення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замовник обов’язково дотримується принципів здійснення публічних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визначених Законом, вносить інформацію про таку закупівлю до річного плану та оприлюднює відповідно до пункту 3-8 розділу X «Прикінцеві та перехідні положення» Закону в електронній системі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звіт про 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саме не пізніше ніж через 10 робочих днів з дня укладення такого договору. </w:t>
      </w:r>
    </w:p>
    <w:p w14:paraId="70A612BF" w14:textId="71B059C5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даної закупівлі має </w:t>
      </w:r>
      <w:r w:rsidRPr="002F18DB">
        <w:rPr>
          <w:rFonts w:ascii="Times New Roman" w:hAnsi="Times New Roman" w:cs="Times New Roman"/>
          <w:sz w:val="24"/>
          <w:szCs w:val="24"/>
        </w:rPr>
        <w:t>вартість</w:t>
      </w:r>
      <w:r w:rsidR="00935668">
        <w:rPr>
          <w:rFonts w:ascii="Times New Roman" w:hAnsi="Times New Roman" w:cs="Times New Roman"/>
          <w:sz w:val="24"/>
          <w:szCs w:val="24"/>
        </w:rPr>
        <w:t xml:space="preserve"> </w:t>
      </w:r>
      <w:r w:rsidR="00575417" w:rsidRPr="00575417">
        <w:rPr>
          <w:rFonts w:ascii="Times New Roman" w:hAnsi="Times New Roman" w:cs="Times New Roman"/>
          <w:sz w:val="24"/>
          <w:szCs w:val="24"/>
        </w:rPr>
        <w:t>2959.51</w:t>
      </w:r>
      <w:r w:rsidR="00575417">
        <w:rPr>
          <w:rFonts w:ascii="Times New Roman" w:hAnsi="Times New Roman" w:cs="Times New Roman"/>
          <w:sz w:val="24"/>
          <w:szCs w:val="24"/>
        </w:rPr>
        <w:t xml:space="preserve"> </w:t>
      </w:r>
      <w:r w:rsidR="00822EBF">
        <w:rPr>
          <w:rFonts w:ascii="Times New Roman" w:hAnsi="Times New Roman" w:cs="Times New Roman"/>
          <w:sz w:val="24"/>
          <w:szCs w:val="24"/>
        </w:rPr>
        <w:t xml:space="preserve">грн </w:t>
      </w:r>
      <w:r w:rsidR="002F18DB" w:rsidRPr="002F18DB">
        <w:rPr>
          <w:rFonts w:ascii="Times New Roman" w:hAnsi="Times New Roman" w:cs="Times New Roman"/>
          <w:sz w:val="24"/>
          <w:szCs w:val="24"/>
        </w:rPr>
        <w:t>з</w:t>
      </w:r>
      <w:r w:rsidRPr="002F18DB">
        <w:rPr>
          <w:rFonts w:ascii="Times New Roman" w:hAnsi="Times New Roman" w:cs="Times New Roman"/>
          <w:sz w:val="24"/>
          <w:szCs w:val="24"/>
        </w:rPr>
        <w:t xml:space="preserve"> ПДВ.</w:t>
      </w:r>
    </w:p>
    <w:p w14:paraId="2E2A1F8D" w14:textId="77777777" w:rsidR="008B6A3E" w:rsidRDefault="008B6A3E" w:rsidP="008B6A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Отже, враховуючи вартісні межі передбачені Законом для даної закупівлі, вказана закупівля здійснюється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7503C2C" w14:textId="0CAD54B9" w:rsidR="00C45E96" w:rsidRPr="00CE640F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UA"/>
        </w:rPr>
      </w:pPr>
      <w:bookmarkStart w:id="3" w:name="_Hlk38007335"/>
      <w:r>
        <w:rPr>
          <w:rFonts w:ascii="Times New Roman" w:eastAsia="Times New Roman" w:hAnsi="Times New Roman" w:cs="Times New Roman"/>
          <w:sz w:val="24"/>
          <w:szCs w:val="24"/>
        </w:rPr>
        <w:t xml:space="preserve">На виконання вимог п. 11 </w:t>
      </w:r>
      <w:r>
        <w:rPr>
          <w:rFonts w:ascii="Times New Roman" w:hAnsi="Times New Roman" w:cs="Times New Roman"/>
          <w:sz w:val="24"/>
          <w:szCs w:val="24"/>
        </w:rPr>
        <w:t>Особливостей згідно Постанови КМУ №1178  та пункту 3-8 розділу X «Прикінцеві та перехідні положення» Закону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є необхідність звіту про </w:t>
      </w:r>
      <w:r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предмету:</w:t>
      </w:r>
      <w:r w:rsidR="00FC1026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75417" w:rsidRP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Надання </w:t>
      </w:r>
      <w:proofErr w:type="spellStart"/>
      <w:r w:rsidR="00575417" w:rsidRP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>пocлyг</w:t>
      </w:r>
      <w:proofErr w:type="spellEnd"/>
      <w:r w:rsidR="00575417" w:rsidRP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щодо погодження та розмежування балансової </w:t>
      </w:r>
      <w:proofErr w:type="spellStart"/>
      <w:r w:rsidR="00575417" w:rsidRP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>належностi</w:t>
      </w:r>
      <w:proofErr w:type="spellEnd"/>
      <w:r w:rsidR="00575417" w:rsidRP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575417" w:rsidRP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>каналiзацiйних</w:t>
      </w:r>
      <w:proofErr w:type="spellEnd"/>
      <w:r w:rsidR="00575417" w:rsidRP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мереж</w:t>
      </w:r>
      <w:r w:rsidR="00575417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14:paraId="3D477245" w14:textId="3D7D3468" w:rsidR="008B6A3E" w:rsidRPr="005871CD" w:rsidRDefault="008B6A3E" w:rsidP="00442DA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ВИРІШИЛА:</w:t>
      </w:r>
    </w:p>
    <w:p w14:paraId="7FC1C337" w14:textId="1ADB22DF" w:rsidR="00157D86" w:rsidRPr="00733D62" w:rsidRDefault="008B6A3E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37169685"/>
      <w:r w:rsidRPr="005871CD">
        <w:rPr>
          <w:rFonts w:ascii="Times New Roman" w:hAnsi="Times New Roman" w:cs="Times New Roman"/>
          <w:sz w:val="24"/>
          <w:szCs w:val="24"/>
        </w:rPr>
        <w:t>О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>прилюднити</w:t>
      </w:r>
      <w:r w:rsidRPr="005871C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871CD">
        <w:rPr>
          <w:rFonts w:ascii="Times New Roman" w:eastAsia="Times New Roman" w:hAnsi="Times New Roman" w:cs="Times New Roman"/>
          <w:sz w:val="24"/>
          <w:szCs w:val="24"/>
        </w:rPr>
        <w:t xml:space="preserve">звіт про </w:t>
      </w:r>
      <w:r w:rsidRPr="005871CD">
        <w:rPr>
          <w:rFonts w:ascii="Times New Roman" w:hAnsi="Times New Roman" w:cs="Times New Roman"/>
          <w:sz w:val="24"/>
          <w:szCs w:val="24"/>
        </w:rPr>
        <w:t xml:space="preserve">договір про закупівлю, укладений без використання електронної системи </w:t>
      </w:r>
      <w:proofErr w:type="spellStart"/>
      <w:r w:rsidRPr="005871CD">
        <w:rPr>
          <w:rFonts w:ascii="Times New Roman" w:hAnsi="Times New Roman" w:cs="Times New Roman"/>
          <w:sz w:val="24"/>
          <w:szCs w:val="24"/>
        </w:rPr>
        <w:t>закупівель</w:t>
      </w:r>
      <w:proofErr w:type="spellEnd"/>
      <w:r w:rsidRPr="005871CD">
        <w:rPr>
          <w:rFonts w:ascii="Times New Roman" w:hAnsi="Times New Roman" w:cs="Times New Roman"/>
          <w:sz w:val="24"/>
          <w:szCs w:val="24"/>
        </w:rPr>
        <w:t xml:space="preserve"> з </w:t>
      </w:r>
      <w:r w:rsidRPr="00733D62">
        <w:rPr>
          <w:rFonts w:ascii="Times New Roman" w:hAnsi="Times New Roman" w:cs="Times New Roman"/>
          <w:sz w:val="24"/>
          <w:szCs w:val="24"/>
        </w:rPr>
        <w:t>предметом</w:t>
      </w:r>
      <w:r w:rsidR="008052A5" w:rsidRPr="00733D62">
        <w:rPr>
          <w:rFonts w:ascii="Times New Roman" w:hAnsi="Times New Roman" w:cs="Times New Roman"/>
          <w:sz w:val="24"/>
          <w:szCs w:val="24"/>
        </w:rPr>
        <w:t xml:space="preserve"> </w:t>
      </w:r>
      <w:r w:rsidR="00575417" w:rsidRPr="00575417">
        <w:rPr>
          <w:rFonts w:ascii="Times New Roman" w:hAnsi="Times New Roman" w:cs="Times New Roman"/>
          <w:sz w:val="24"/>
          <w:szCs w:val="24"/>
        </w:rPr>
        <w:t xml:space="preserve">Надання </w:t>
      </w:r>
      <w:proofErr w:type="spellStart"/>
      <w:r w:rsidR="00575417" w:rsidRPr="00575417">
        <w:rPr>
          <w:rFonts w:ascii="Times New Roman" w:hAnsi="Times New Roman" w:cs="Times New Roman"/>
          <w:sz w:val="24"/>
          <w:szCs w:val="24"/>
        </w:rPr>
        <w:t>пocлyг</w:t>
      </w:r>
      <w:proofErr w:type="spellEnd"/>
      <w:r w:rsidR="00575417" w:rsidRPr="00575417">
        <w:rPr>
          <w:rFonts w:ascii="Times New Roman" w:hAnsi="Times New Roman" w:cs="Times New Roman"/>
          <w:sz w:val="24"/>
          <w:szCs w:val="24"/>
        </w:rPr>
        <w:t xml:space="preserve"> щодо погодження та розмежування балансової </w:t>
      </w:r>
      <w:proofErr w:type="spellStart"/>
      <w:r w:rsidR="00575417" w:rsidRPr="00575417">
        <w:rPr>
          <w:rFonts w:ascii="Times New Roman" w:hAnsi="Times New Roman" w:cs="Times New Roman"/>
          <w:sz w:val="24"/>
          <w:szCs w:val="24"/>
        </w:rPr>
        <w:t>належностi</w:t>
      </w:r>
      <w:proofErr w:type="spellEnd"/>
      <w:r w:rsidR="00575417" w:rsidRPr="005754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5417" w:rsidRPr="00575417">
        <w:rPr>
          <w:rFonts w:ascii="Times New Roman" w:hAnsi="Times New Roman" w:cs="Times New Roman"/>
          <w:sz w:val="24"/>
          <w:szCs w:val="24"/>
        </w:rPr>
        <w:t>каналiзацiйних</w:t>
      </w:r>
      <w:proofErr w:type="spellEnd"/>
      <w:r w:rsidR="00575417" w:rsidRPr="00575417">
        <w:rPr>
          <w:rFonts w:ascii="Times New Roman" w:hAnsi="Times New Roman" w:cs="Times New Roman"/>
          <w:sz w:val="24"/>
          <w:szCs w:val="24"/>
        </w:rPr>
        <w:t xml:space="preserve"> мереж</w:t>
      </w:r>
      <w:r w:rsidR="00575417">
        <w:rPr>
          <w:rFonts w:ascii="Times New Roman" w:hAnsi="Times New Roman" w:cs="Times New Roman"/>
          <w:sz w:val="24"/>
          <w:szCs w:val="24"/>
        </w:rPr>
        <w:t xml:space="preserve"> </w:t>
      </w:r>
      <w:r w:rsidR="00EB1EF1" w:rsidRPr="00733D62">
        <w:rPr>
          <w:rFonts w:ascii="Times New Roman" w:hAnsi="Times New Roman" w:cs="Times New Roman"/>
          <w:color w:val="000000"/>
          <w:sz w:val="24"/>
          <w:szCs w:val="24"/>
          <w:shd w:val="clear" w:color="auto" w:fill="FDFEFD"/>
        </w:rPr>
        <w:t xml:space="preserve">в </w:t>
      </w:r>
      <w:r w:rsidRPr="00733D6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Електронній системі</w:t>
      </w:r>
      <w:r w:rsidRPr="00733D62">
        <w:rPr>
          <w:rFonts w:ascii="Times New Roman" w:eastAsia="Times New Roman" w:hAnsi="Times New Roman" w:cs="Times New Roman"/>
          <w:sz w:val="24"/>
          <w:szCs w:val="24"/>
        </w:rPr>
        <w:t xml:space="preserve"> у порядку, встановленому Уповноваженим органом</w:t>
      </w:r>
      <w:r w:rsidRPr="00733D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bookmarkEnd w:id="4"/>
      <w:r w:rsidRPr="00733D6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5" w:name="_Hlk84268683"/>
    </w:p>
    <w:p w14:paraId="21119C99" w14:textId="77777777" w:rsidR="008B1070" w:rsidRPr="008B1070" w:rsidRDefault="008B1070" w:rsidP="008B107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3"/>
    <w:bookmarkEnd w:id="5"/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662"/>
        <w:gridCol w:w="2714"/>
        <w:gridCol w:w="2894"/>
      </w:tblGrid>
      <w:tr w:rsidR="008B6A3E" w14:paraId="3E646B9F" w14:textId="77777777" w:rsidTr="001D4935">
        <w:trPr>
          <w:trHeight w:val="354"/>
        </w:trPr>
        <w:tc>
          <w:tcPr>
            <w:tcW w:w="3664" w:type="dxa"/>
          </w:tcPr>
          <w:p w14:paraId="54ED7C32" w14:textId="77777777" w:rsidR="008B6A3E" w:rsidRDefault="008B6A3E" w:rsidP="001D493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</w:pPr>
          </w:p>
          <w:p w14:paraId="7D720CCF" w14:textId="1127A689" w:rsidR="008B6A3E" w:rsidRPr="00157D86" w:rsidRDefault="008B6A3E" w:rsidP="00157D86">
            <w:pPr>
              <w:shd w:val="clear" w:color="auto" w:fill="FFFFFF"/>
              <w:spacing w:after="0" w:line="240" w:lineRule="auto"/>
              <w:ind w:left="-105" w:firstLine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Уповноважена особ</w:t>
            </w:r>
            <w:r w:rsidR="00157D86">
              <w:rPr>
                <w:rFonts w:ascii="Times New Roman" w:eastAsia="Times New Roman" w:hAnsi="Times New Roman" w:cs="Times New Roman"/>
                <w:b/>
                <w:bCs/>
                <w:iCs/>
                <w:spacing w:val="-4"/>
                <w:sz w:val="24"/>
                <w:szCs w:val="24"/>
              </w:rPr>
              <w:t>а</w:t>
            </w:r>
          </w:p>
        </w:tc>
        <w:tc>
          <w:tcPr>
            <w:tcW w:w="2715" w:type="dxa"/>
            <w:vAlign w:val="center"/>
          </w:tcPr>
          <w:p w14:paraId="1B625351" w14:textId="77777777" w:rsidR="008B6A3E" w:rsidRDefault="008B6A3E" w:rsidP="001D4935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623167B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B222E2C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підпис</w:t>
            </w:r>
          </w:p>
        </w:tc>
        <w:tc>
          <w:tcPr>
            <w:tcW w:w="2895" w:type="dxa"/>
            <w:vAlign w:val="center"/>
            <w:hideMark/>
          </w:tcPr>
          <w:p w14:paraId="59521E62" w14:textId="77777777" w:rsidR="008B6A3E" w:rsidRDefault="008B6A3E" w:rsidP="001D4935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Дмитрій ТЕЛЕЛЕКОВ</w:t>
            </w:r>
          </w:p>
        </w:tc>
      </w:tr>
    </w:tbl>
    <w:p w14:paraId="11847FF7" w14:textId="77777777" w:rsidR="008B6A3E" w:rsidRDefault="008B6A3E"/>
    <w:sectPr w:rsidR="008B6A3E" w:rsidSect="000A3420">
      <w:pgSz w:w="11906" w:h="16838"/>
      <w:pgMar w:top="712" w:right="1440" w:bottom="75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ahom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73F2"/>
    <w:multiLevelType w:val="multilevel"/>
    <w:tmpl w:val="F4DAE164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 w:val="0"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num w:numId="1" w16cid:durableId="1450784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A3E"/>
    <w:rsid w:val="00012A9A"/>
    <w:rsid w:val="0004050C"/>
    <w:rsid w:val="00052E74"/>
    <w:rsid w:val="00054D56"/>
    <w:rsid w:val="0008618B"/>
    <w:rsid w:val="000A3420"/>
    <w:rsid w:val="000D58E5"/>
    <w:rsid w:val="00130476"/>
    <w:rsid w:val="00137777"/>
    <w:rsid w:val="00157D86"/>
    <w:rsid w:val="00254AC4"/>
    <w:rsid w:val="002F18DB"/>
    <w:rsid w:val="004112E3"/>
    <w:rsid w:val="00442DA4"/>
    <w:rsid w:val="00445139"/>
    <w:rsid w:val="004470EC"/>
    <w:rsid w:val="004670F0"/>
    <w:rsid w:val="00516196"/>
    <w:rsid w:val="00575417"/>
    <w:rsid w:val="005871CD"/>
    <w:rsid w:val="005E2916"/>
    <w:rsid w:val="00604C46"/>
    <w:rsid w:val="00657F3E"/>
    <w:rsid w:val="006731D3"/>
    <w:rsid w:val="00677F29"/>
    <w:rsid w:val="006F1A24"/>
    <w:rsid w:val="006F6D79"/>
    <w:rsid w:val="00733D62"/>
    <w:rsid w:val="008052A5"/>
    <w:rsid w:val="00822EBF"/>
    <w:rsid w:val="00854FC8"/>
    <w:rsid w:val="008B1070"/>
    <w:rsid w:val="008B6A3E"/>
    <w:rsid w:val="00935668"/>
    <w:rsid w:val="00937F9B"/>
    <w:rsid w:val="009966D3"/>
    <w:rsid w:val="009A63CA"/>
    <w:rsid w:val="00A10436"/>
    <w:rsid w:val="00A87952"/>
    <w:rsid w:val="00AA5248"/>
    <w:rsid w:val="00AF79DC"/>
    <w:rsid w:val="00B0416D"/>
    <w:rsid w:val="00BC0BCC"/>
    <w:rsid w:val="00C17413"/>
    <w:rsid w:val="00C45E96"/>
    <w:rsid w:val="00C472D2"/>
    <w:rsid w:val="00C47C52"/>
    <w:rsid w:val="00C543F4"/>
    <w:rsid w:val="00CB1997"/>
    <w:rsid w:val="00CC20CD"/>
    <w:rsid w:val="00CE640F"/>
    <w:rsid w:val="00D138CB"/>
    <w:rsid w:val="00D203A0"/>
    <w:rsid w:val="00D54F29"/>
    <w:rsid w:val="00D872E6"/>
    <w:rsid w:val="00DD439A"/>
    <w:rsid w:val="00DF0DA7"/>
    <w:rsid w:val="00E30A1D"/>
    <w:rsid w:val="00E3210E"/>
    <w:rsid w:val="00E76C29"/>
    <w:rsid w:val="00E90D7E"/>
    <w:rsid w:val="00EB1EF1"/>
    <w:rsid w:val="00EE1F9C"/>
    <w:rsid w:val="00F005EF"/>
    <w:rsid w:val="00F41825"/>
    <w:rsid w:val="00F56D9C"/>
    <w:rsid w:val="00F5727B"/>
    <w:rsid w:val="00FA0E91"/>
    <w:rsid w:val="00FB2637"/>
    <w:rsid w:val="00FC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3003"/>
  <w15:chartTrackingRefBased/>
  <w15:docId w15:val="{00D3DE16-9F66-8242-8B32-2D1E3F3FE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6A3E"/>
    <w:pPr>
      <w:spacing w:after="200" w:line="276" w:lineRule="auto"/>
    </w:pPr>
    <w:rPr>
      <w:rFonts w:eastAsiaTheme="minorEastAsia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B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35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06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5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44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3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2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4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5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4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8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1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давыденко</dc:creator>
  <cp:keywords/>
  <dc:description/>
  <cp:lastModifiedBy>Dmitriy Telelekov</cp:lastModifiedBy>
  <cp:revision>2</cp:revision>
  <dcterms:created xsi:type="dcterms:W3CDTF">2024-02-15T21:22:00Z</dcterms:created>
  <dcterms:modified xsi:type="dcterms:W3CDTF">2024-02-15T21:22:00Z</dcterms:modified>
</cp:coreProperties>
</file>