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50" w:rsidRPr="00E11CAE" w:rsidRDefault="00941AFF">
      <w:pPr>
        <w:spacing w:after="0" w:line="240" w:lineRule="auto"/>
        <w:ind w:left="5660"/>
        <w:jc w:val="right"/>
        <w:rPr>
          <w:rFonts w:ascii="Times New Roman" w:eastAsia="Times New Roman" w:hAnsi="Times New Roman" w:cs="Times New Roman"/>
          <w:sz w:val="24"/>
          <w:szCs w:val="24"/>
        </w:rPr>
      </w:pPr>
      <w:r w:rsidRPr="00E11CAE">
        <w:rPr>
          <w:rFonts w:ascii="Times New Roman" w:eastAsia="Times New Roman" w:hAnsi="Times New Roman" w:cs="Times New Roman"/>
          <w:b/>
          <w:color w:val="000000"/>
          <w:sz w:val="24"/>
          <w:szCs w:val="24"/>
        </w:rPr>
        <w:t>ДОДАТОК  2</w:t>
      </w:r>
    </w:p>
    <w:p w:rsidR="00950250" w:rsidRPr="00E11CAE" w:rsidRDefault="00941AFF">
      <w:pPr>
        <w:spacing w:after="0" w:line="240" w:lineRule="auto"/>
        <w:ind w:left="5660"/>
        <w:jc w:val="right"/>
        <w:rPr>
          <w:rFonts w:ascii="Times New Roman" w:eastAsia="Times New Roman" w:hAnsi="Times New Roman" w:cs="Times New Roman"/>
          <w:sz w:val="24"/>
          <w:szCs w:val="24"/>
        </w:rPr>
      </w:pPr>
      <w:r w:rsidRPr="00E11CAE">
        <w:rPr>
          <w:rFonts w:ascii="Times New Roman" w:eastAsia="Times New Roman" w:hAnsi="Times New Roman" w:cs="Times New Roman"/>
          <w:i/>
          <w:color w:val="000000"/>
          <w:sz w:val="24"/>
          <w:szCs w:val="24"/>
        </w:rPr>
        <w:t>до тендерної документації</w:t>
      </w:r>
      <w:r w:rsidRPr="00E11CAE">
        <w:rPr>
          <w:rFonts w:ascii="Times New Roman" w:eastAsia="Times New Roman" w:hAnsi="Times New Roman" w:cs="Times New Roman"/>
          <w:color w:val="000000"/>
          <w:sz w:val="24"/>
          <w:szCs w:val="24"/>
        </w:rPr>
        <w:t> </w:t>
      </w:r>
    </w:p>
    <w:p w:rsidR="00950250" w:rsidRDefault="00941AFF">
      <w:pPr>
        <w:spacing w:before="240" w:after="0" w:line="240" w:lineRule="auto"/>
        <w:jc w:val="center"/>
        <w:rPr>
          <w:rFonts w:ascii="Times New Roman" w:eastAsia="Times New Roman" w:hAnsi="Times New Roman" w:cs="Times New Roman"/>
          <w:b/>
          <w:i/>
          <w:color w:val="000000"/>
          <w:sz w:val="24"/>
          <w:szCs w:val="24"/>
        </w:rPr>
      </w:pPr>
      <w:r w:rsidRPr="00E11CA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F7023" w:rsidRDefault="004F7023" w:rsidP="004F7023">
      <w:pPr>
        <w:spacing w:after="0"/>
        <w:jc w:val="center"/>
        <w:rPr>
          <w:rFonts w:ascii="Times New Roman" w:hAnsi="Times New Roman" w:cs="Times New Roman"/>
          <w:b/>
          <w:bCs/>
          <w:i/>
          <w:kern w:val="1"/>
          <w:sz w:val="28"/>
          <w:szCs w:val="28"/>
          <w:lang w:eastAsia="en-US"/>
        </w:rPr>
      </w:pPr>
      <w:r w:rsidRPr="00E2513A">
        <w:rPr>
          <w:rFonts w:ascii="Times New Roman" w:hAnsi="Times New Roman" w:cs="Times New Roman"/>
          <w:b/>
          <w:bCs/>
          <w:i/>
          <w:kern w:val="1"/>
          <w:sz w:val="28"/>
          <w:szCs w:val="28"/>
          <w:lang w:eastAsia="en-US"/>
        </w:rPr>
        <w:t>Медико-технічні вимоги</w:t>
      </w:r>
    </w:p>
    <w:p w:rsidR="002778D9" w:rsidRPr="002778D9" w:rsidRDefault="002778D9" w:rsidP="004F7023">
      <w:pPr>
        <w:spacing w:after="0"/>
        <w:jc w:val="center"/>
        <w:rPr>
          <w:rFonts w:ascii="Times New Roman" w:hAnsi="Times New Roman" w:cs="Times New Roman"/>
          <w:b/>
          <w:bCs/>
          <w:i/>
          <w:kern w:val="1"/>
          <w:sz w:val="28"/>
          <w:szCs w:val="28"/>
          <w:lang w:eastAsia="en-US"/>
        </w:rPr>
      </w:pPr>
      <w:r w:rsidRPr="002778D9">
        <w:rPr>
          <w:rFonts w:ascii="Times New Roman" w:hAnsi="Times New Roman"/>
          <w:b/>
          <w:i/>
          <w:sz w:val="26"/>
          <w:szCs w:val="26"/>
        </w:rPr>
        <w:t>Спеціальні харчові суміші для дієтичного харчування хворих на фенілкетонурію</w:t>
      </w:r>
    </w:p>
    <w:p w:rsidR="005F7FDF" w:rsidRPr="004F7023" w:rsidRDefault="005F7FDF" w:rsidP="005F7FDF">
      <w:pPr>
        <w:spacing w:after="0" w:line="240" w:lineRule="auto"/>
        <w:jc w:val="center"/>
        <w:rPr>
          <w:rFonts w:ascii="Times New Roman" w:hAnsi="Times New Roman"/>
          <w:b/>
          <w:i/>
          <w:sz w:val="24"/>
          <w:szCs w:val="24"/>
        </w:rPr>
      </w:pPr>
      <w:r w:rsidRPr="004F7023">
        <w:rPr>
          <w:rFonts w:ascii="Times New Roman" w:hAnsi="Times New Roman"/>
          <w:b/>
          <w:bCs/>
          <w:i/>
          <w:sz w:val="24"/>
          <w:szCs w:val="24"/>
          <w:lang w:val="en-US"/>
        </w:rPr>
        <w:t>Comida</w:t>
      </w:r>
      <w:r w:rsidRPr="004F7023">
        <w:rPr>
          <w:rFonts w:ascii="Times New Roman" w:hAnsi="Times New Roman"/>
          <w:b/>
          <w:bCs/>
          <w:i/>
          <w:sz w:val="24"/>
          <w:szCs w:val="24"/>
        </w:rPr>
        <w:t>-</w:t>
      </w:r>
      <w:r w:rsidRPr="004F7023">
        <w:rPr>
          <w:rFonts w:ascii="Times New Roman" w:hAnsi="Times New Roman"/>
          <w:b/>
          <w:bCs/>
          <w:i/>
          <w:sz w:val="24"/>
          <w:szCs w:val="24"/>
          <w:lang w:val="en-US"/>
        </w:rPr>
        <w:t>PKU</w:t>
      </w:r>
      <w:r w:rsidR="00603C8C">
        <w:rPr>
          <w:rFonts w:ascii="Times New Roman" w:hAnsi="Times New Roman"/>
          <w:b/>
          <w:bCs/>
          <w:i/>
          <w:sz w:val="24"/>
          <w:szCs w:val="24"/>
        </w:rPr>
        <w:t xml:space="preserve"> С</w:t>
      </w:r>
      <w:r w:rsidRPr="004F7023">
        <w:rPr>
          <w:rFonts w:ascii="Times New Roman" w:hAnsi="Times New Roman"/>
          <w:b/>
          <w:bCs/>
          <w:i/>
          <w:sz w:val="24"/>
          <w:szCs w:val="24"/>
        </w:rPr>
        <w:t xml:space="preserve"> / Коміда-ФКУ С  або еквівалент</w:t>
      </w:r>
    </w:p>
    <w:p w:rsidR="00806191" w:rsidRDefault="00806191" w:rsidP="005F7FDF">
      <w:pPr>
        <w:spacing w:after="0" w:line="240" w:lineRule="auto"/>
        <w:jc w:val="center"/>
        <w:rPr>
          <w:rFonts w:ascii="Times New Roman" w:hAnsi="Times New Roman" w:cs="Times New Roman"/>
          <w:b/>
          <w:i/>
        </w:rPr>
      </w:pPr>
      <w:r w:rsidRPr="004F7023">
        <w:rPr>
          <w:rFonts w:ascii="Times New Roman" w:hAnsi="Times New Roman" w:cs="Times New Roman"/>
          <w:b/>
          <w:bCs/>
          <w:i/>
        </w:rPr>
        <w:t xml:space="preserve">за кодом </w:t>
      </w:r>
      <w:r w:rsidRPr="004F7023">
        <w:rPr>
          <w:rFonts w:ascii="Times New Roman" w:hAnsi="Times New Roman" w:cs="Times New Roman"/>
          <w:b/>
          <w:i/>
        </w:rPr>
        <w:t xml:space="preserve">ДК 021:2015 — 15880000-0 Спеціальні продукти харчування, збагачені поживними речовинами </w:t>
      </w:r>
    </w:p>
    <w:p w:rsidR="00D1106D" w:rsidRPr="004F7023" w:rsidRDefault="00D1106D" w:rsidP="005F7FDF">
      <w:pPr>
        <w:spacing w:after="0" w:line="240" w:lineRule="auto"/>
        <w:jc w:val="center"/>
        <w:rPr>
          <w:rFonts w:ascii="Times New Roman" w:hAnsi="Times New Roman" w:cs="Times New Roman"/>
          <w:b/>
          <w:i/>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5386"/>
        <w:gridCol w:w="851"/>
        <w:gridCol w:w="1276"/>
      </w:tblGrid>
      <w:tr w:rsidR="0042518B" w:rsidRPr="00E11CAE" w:rsidTr="00D1106D">
        <w:trPr>
          <w:trHeight w:val="619"/>
        </w:trPr>
        <w:tc>
          <w:tcPr>
            <w:tcW w:w="567" w:type="dxa"/>
            <w:vAlign w:val="center"/>
          </w:tcPr>
          <w:p w:rsidR="0042518B" w:rsidRPr="00E11CAE" w:rsidRDefault="0042518B" w:rsidP="0007426C">
            <w:pPr>
              <w:rPr>
                <w:rFonts w:ascii="Times New Roman" w:hAnsi="Times New Roman" w:cs="Times New Roman"/>
              </w:rPr>
            </w:pPr>
            <w:r w:rsidRPr="00E11CAE">
              <w:rPr>
                <w:rFonts w:ascii="Times New Roman" w:hAnsi="Times New Roman" w:cs="Times New Roman"/>
              </w:rPr>
              <w:t>№</w:t>
            </w:r>
          </w:p>
          <w:p w:rsidR="0042518B" w:rsidRPr="00E11CAE" w:rsidRDefault="0042518B" w:rsidP="0007426C">
            <w:pPr>
              <w:rPr>
                <w:rFonts w:ascii="Times New Roman" w:hAnsi="Times New Roman" w:cs="Times New Roman"/>
              </w:rPr>
            </w:pPr>
            <w:r w:rsidRPr="00E11CAE">
              <w:rPr>
                <w:rFonts w:ascii="Times New Roman" w:hAnsi="Times New Roman" w:cs="Times New Roman"/>
              </w:rPr>
              <w:t>з/п</w:t>
            </w:r>
          </w:p>
        </w:tc>
        <w:tc>
          <w:tcPr>
            <w:tcW w:w="1985" w:type="dxa"/>
            <w:vAlign w:val="center"/>
          </w:tcPr>
          <w:p w:rsidR="0042518B" w:rsidRPr="00E11CAE" w:rsidRDefault="0042518B" w:rsidP="0007426C">
            <w:pPr>
              <w:jc w:val="center"/>
              <w:rPr>
                <w:rFonts w:ascii="Times New Roman" w:hAnsi="Times New Roman" w:cs="Times New Roman"/>
              </w:rPr>
            </w:pPr>
            <w:r w:rsidRPr="00E11CAE">
              <w:rPr>
                <w:rFonts w:ascii="Times New Roman" w:hAnsi="Times New Roman" w:cs="Times New Roman"/>
              </w:rPr>
              <w:t>Найменування</w:t>
            </w:r>
          </w:p>
        </w:tc>
        <w:tc>
          <w:tcPr>
            <w:tcW w:w="5386" w:type="dxa"/>
            <w:vAlign w:val="center"/>
          </w:tcPr>
          <w:p w:rsidR="0042518B" w:rsidRPr="00E11CAE" w:rsidRDefault="0042518B" w:rsidP="0007426C">
            <w:pPr>
              <w:jc w:val="center"/>
              <w:rPr>
                <w:rFonts w:ascii="Times New Roman" w:hAnsi="Times New Roman" w:cs="Times New Roman"/>
              </w:rPr>
            </w:pPr>
            <w:r w:rsidRPr="00E11CAE">
              <w:rPr>
                <w:rFonts w:ascii="Times New Roman" w:hAnsi="Times New Roman" w:cs="Times New Roman"/>
              </w:rPr>
              <w:t>Опис</w:t>
            </w:r>
          </w:p>
        </w:tc>
        <w:tc>
          <w:tcPr>
            <w:tcW w:w="851" w:type="dxa"/>
            <w:vAlign w:val="center"/>
          </w:tcPr>
          <w:p w:rsidR="0042518B" w:rsidRPr="00E11CAE" w:rsidRDefault="0042518B" w:rsidP="0007426C">
            <w:pPr>
              <w:jc w:val="center"/>
              <w:rPr>
                <w:rFonts w:ascii="Times New Roman" w:hAnsi="Times New Roman" w:cs="Times New Roman"/>
              </w:rPr>
            </w:pPr>
            <w:r w:rsidRPr="00E11CAE">
              <w:rPr>
                <w:rFonts w:ascii="Times New Roman" w:hAnsi="Times New Roman" w:cs="Times New Roman"/>
              </w:rPr>
              <w:t>Од. вим.</w:t>
            </w:r>
          </w:p>
        </w:tc>
        <w:tc>
          <w:tcPr>
            <w:tcW w:w="1276" w:type="dxa"/>
            <w:vAlign w:val="center"/>
          </w:tcPr>
          <w:p w:rsidR="0042518B" w:rsidRPr="00E11CAE" w:rsidRDefault="0042518B" w:rsidP="0007426C">
            <w:pPr>
              <w:jc w:val="center"/>
              <w:rPr>
                <w:rFonts w:ascii="Times New Roman" w:hAnsi="Times New Roman" w:cs="Times New Roman"/>
              </w:rPr>
            </w:pPr>
            <w:r w:rsidRPr="00E11CAE">
              <w:rPr>
                <w:rFonts w:ascii="Times New Roman" w:hAnsi="Times New Roman" w:cs="Times New Roman"/>
              </w:rPr>
              <w:t>Кіль-</w:t>
            </w:r>
          </w:p>
          <w:p w:rsidR="0042518B" w:rsidRPr="00E11CAE" w:rsidRDefault="0042518B" w:rsidP="0007426C">
            <w:pPr>
              <w:jc w:val="center"/>
              <w:rPr>
                <w:rFonts w:ascii="Times New Roman" w:hAnsi="Times New Roman" w:cs="Times New Roman"/>
              </w:rPr>
            </w:pPr>
            <w:r w:rsidRPr="00E11CAE">
              <w:rPr>
                <w:rFonts w:ascii="Times New Roman" w:hAnsi="Times New Roman" w:cs="Times New Roman"/>
              </w:rPr>
              <w:t>кість</w:t>
            </w:r>
          </w:p>
        </w:tc>
      </w:tr>
      <w:tr w:rsidR="0042518B" w:rsidRPr="00E11CAE" w:rsidTr="00D1106D">
        <w:tc>
          <w:tcPr>
            <w:tcW w:w="567" w:type="dxa"/>
            <w:vAlign w:val="center"/>
          </w:tcPr>
          <w:p w:rsidR="0042518B" w:rsidRPr="00E11CAE" w:rsidRDefault="0042518B" w:rsidP="00EB5E8F">
            <w:pPr>
              <w:rPr>
                <w:rFonts w:ascii="Times New Roman" w:hAnsi="Times New Roman" w:cs="Times New Roman"/>
              </w:rPr>
            </w:pPr>
            <w:r>
              <w:rPr>
                <w:rFonts w:ascii="Times New Roman" w:hAnsi="Times New Roman" w:cs="Times New Roman"/>
              </w:rPr>
              <w:t xml:space="preserve"> </w:t>
            </w:r>
            <w:r w:rsidR="00EB5E8F">
              <w:rPr>
                <w:rFonts w:ascii="Times New Roman" w:hAnsi="Times New Roman" w:cs="Times New Roman"/>
              </w:rPr>
              <w:t>1</w:t>
            </w:r>
            <w:r>
              <w:rPr>
                <w:rFonts w:ascii="Times New Roman" w:hAnsi="Times New Roman" w:cs="Times New Roman"/>
              </w:rPr>
              <w:t>.</w:t>
            </w:r>
          </w:p>
        </w:tc>
        <w:tc>
          <w:tcPr>
            <w:tcW w:w="1985" w:type="dxa"/>
            <w:vAlign w:val="center"/>
          </w:tcPr>
          <w:p w:rsidR="0042518B" w:rsidRPr="00C838B6" w:rsidRDefault="0042518B" w:rsidP="005F7FDF">
            <w:pPr>
              <w:spacing w:line="288" w:lineRule="auto"/>
              <w:rPr>
                <w:rFonts w:ascii="Times New Roman" w:hAnsi="Times New Roman"/>
                <w:b/>
                <w:sz w:val="24"/>
                <w:szCs w:val="24"/>
              </w:rPr>
            </w:pPr>
            <w:r w:rsidRPr="00C838B6">
              <w:rPr>
                <w:rFonts w:ascii="Times New Roman" w:hAnsi="Times New Roman"/>
                <w:b/>
                <w:bCs/>
                <w:sz w:val="24"/>
                <w:szCs w:val="24"/>
                <w:lang w:val="en-US"/>
              </w:rPr>
              <w:t>Comida</w:t>
            </w:r>
            <w:r w:rsidRPr="00C838B6">
              <w:rPr>
                <w:rFonts w:ascii="Times New Roman" w:hAnsi="Times New Roman"/>
                <w:b/>
                <w:bCs/>
                <w:sz w:val="24"/>
                <w:szCs w:val="24"/>
              </w:rPr>
              <w:t>-</w:t>
            </w:r>
            <w:r w:rsidRPr="00C838B6">
              <w:rPr>
                <w:rFonts w:ascii="Times New Roman" w:hAnsi="Times New Roman"/>
                <w:b/>
                <w:bCs/>
                <w:sz w:val="24"/>
                <w:szCs w:val="24"/>
                <w:lang w:val="en-US"/>
              </w:rPr>
              <w:t>PKU</w:t>
            </w:r>
            <w:r w:rsidRPr="00C838B6">
              <w:rPr>
                <w:rFonts w:ascii="Times New Roman" w:hAnsi="Times New Roman"/>
                <w:b/>
                <w:bCs/>
                <w:sz w:val="24"/>
                <w:szCs w:val="24"/>
              </w:rPr>
              <w:t xml:space="preserve"> </w:t>
            </w:r>
            <w:r>
              <w:rPr>
                <w:rFonts w:ascii="Times New Roman" w:hAnsi="Times New Roman"/>
                <w:b/>
                <w:bCs/>
                <w:sz w:val="24"/>
                <w:szCs w:val="24"/>
              </w:rPr>
              <w:t>С</w:t>
            </w:r>
            <w:r w:rsidRPr="00C838B6">
              <w:rPr>
                <w:rFonts w:ascii="Times New Roman" w:hAnsi="Times New Roman"/>
                <w:b/>
                <w:bCs/>
                <w:sz w:val="24"/>
                <w:szCs w:val="24"/>
              </w:rPr>
              <w:t xml:space="preserve">/ Коміда-ФКУ </w:t>
            </w:r>
            <w:r>
              <w:rPr>
                <w:rFonts w:ascii="Times New Roman" w:hAnsi="Times New Roman"/>
                <w:b/>
                <w:bCs/>
                <w:sz w:val="24"/>
                <w:szCs w:val="24"/>
              </w:rPr>
              <w:t>С</w:t>
            </w:r>
            <w:r w:rsidRPr="00C838B6">
              <w:rPr>
                <w:rFonts w:ascii="Times New Roman" w:hAnsi="Times New Roman"/>
                <w:b/>
                <w:bCs/>
                <w:sz w:val="24"/>
                <w:szCs w:val="24"/>
              </w:rPr>
              <w:t xml:space="preserve"> </w:t>
            </w:r>
            <w:r>
              <w:rPr>
                <w:rFonts w:ascii="Times New Roman" w:hAnsi="Times New Roman" w:cs="Times New Roman"/>
                <w:b/>
                <w:bCs/>
                <w:sz w:val="24"/>
                <w:szCs w:val="24"/>
              </w:rPr>
              <w:t>(500гр.)</w:t>
            </w:r>
            <w:r w:rsidRPr="00E11CAE">
              <w:rPr>
                <w:rFonts w:ascii="Times New Roman" w:hAnsi="Times New Roman" w:cs="Times New Roman"/>
                <w:b/>
                <w:bCs/>
                <w:sz w:val="24"/>
                <w:szCs w:val="24"/>
              </w:rPr>
              <w:t xml:space="preserve">  </w:t>
            </w:r>
            <w:r w:rsidRPr="00C838B6">
              <w:rPr>
                <w:rFonts w:ascii="Times New Roman" w:hAnsi="Times New Roman"/>
                <w:b/>
                <w:bCs/>
                <w:sz w:val="24"/>
                <w:szCs w:val="24"/>
              </w:rPr>
              <w:t xml:space="preserve"> або еквівалент</w:t>
            </w:r>
          </w:p>
          <w:p w:rsidR="0042518B" w:rsidRPr="005F7FDF" w:rsidRDefault="0042518B" w:rsidP="00F62D02">
            <w:pPr>
              <w:rPr>
                <w:rFonts w:ascii="Times New Roman" w:hAnsi="Times New Roman" w:cs="Times New Roman"/>
                <w:b/>
                <w:bCs/>
                <w:sz w:val="24"/>
                <w:szCs w:val="24"/>
              </w:rPr>
            </w:pPr>
          </w:p>
        </w:tc>
        <w:tc>
          <w:tcPr>
            <w:tcW w:w="5386" w:type="dxa"/>
            <w:vAlign w:val="center"/>
          </w:tcPr>
          <w:p w:rsidR="0042518B" w:rsidRPr="00C838B6" w:rsidRDefault="0042518B" w:rsidP="005F7FDF">
            <w:pPr>
              <w:pStyle w:val="10"/>
              <w:ind w:left="0"/>
              <w:jc w:val="both"/>
            </w:pPr>
            <w:r w:rsidRPr="00C838B6">
              <w:t>1.Вміст білка  у 100 грамах сухого продукту -   не більше 7</w:t>
            </w:r>
            <w:r>
              <w:t>5</w:t>
            </w:r>
            <w:r w:rsidRPr="00C838B6">
              <w:t xml:space="preserve">  грам.</w:t>
            </w:r>
          </w:p>
          <w:p w:rsidR="0042518B" w:rsidRPr="005F7FDF" w:rsidRDefault="0042518B" w:rsidP="005F7FDF">
            <w:pPr>
              <w:pStyle w:val="rvps2"/>
              <w:shd w:val="clear" w:color="auto" w:fill="FFFFFF"/>
              <w:spacing w:before="0" w:beforeAutospacing="0" w:after="0" w:afterAutospacing="0"/>
              <w:jc w:val="both"/>
              <w:rPr>
                <w:color w:val="000000"/>
                <w:lang w:val="uk-UA"/>
              </w:rPr>
            </w:pPr>
            <w:r>
              <w:rPr>
                <w:color w:val="000000"/>
                <w:lang w:val="uk-UA"/>
              </w:rPr>
              <w:t>2.</w:t>
            </w:r>
            <w:r w:rsidRPr="005F7FDF">
              <w:rPr>
                <w:color w:val="000000"/>
                <w:lang w:val="uk-UA"/>
              </w:rPr>
              <w:t>Набір амінокислот (кількість) в суміші - найвищий.</w:t>
            </w:r>
          </w:p>
          <w:p w:rsidR="0042518B" w:rsidRPr="005F7FDF" w:rsidRDefault="0042518B" w:rsidP="005F7FDF">
            <w:pPr>
              <w:pStyle w:val="rvps2"/>
              <w:shd w:val="clear" w:color="auto" w:fill="FFFFFF"/>
              <w:spacing w:before="0" w:beforeAutospacing="0" w:after="0" w:afterAutospacing="0"/>
              <w:jc w:val="both"/>
              <w:rPr>
                <w:color w:val="000000"/>
                <w:lang w:val="uk-UA"/>
              </w:rPr>
            </w:pPr>
            <w:r>
              <w:rPr>
                <w:color w:val="000000"/>
                <w:lang w:val="uk-UA"/>
              </w:rPr>
              <w:t>3.</w:t>
            </w:r>
            <w:r w:rsidRPr="005F7FDF">
              <w:rPr>
                <w:color w:val="000000"/>
                <w:lang w:val="uk-UA"/>
              </w:rPr>
              <w:t xml:space="preserve">Вміст суми незамінних та напівзамінних амінокислот (г) в </w:t>
            </w:r>
            <w:smartTag w:uri="urn:schemas-microsoft-com:office:smarttags" w:element="metricconverter">
              <w:smartTagPr>
                <w:attr w:name="ProductID" w:val="100 г"/>
              </w:smartTagPr>
              <w:r w:rsidRPr="005F7FDF">
                <w:rPr>
                  <w:color w:val="000000"/>
                  <w:lang w:val="uk-UA"/>
                </w:rPr>
                <w:t>100 г</w:t>
              </w:r>
            </w:smartTag>
            <w:r w:rsidRPr="005F7FDF">
              <w:rPr>
                <w:color w:val="000000"/>
                <w:lang w:val="uk-UA"/>
              </w:rPr>
              <w:t xml:space="preserve"> білка - оптимальний, що адаптований до вікової категорії хворого. Незамінні та напівзамінні амінокислоти: ізолейцин, лейцин, лізин, метіонін, треонін, триптофан, валін, аргінін, гістидин, тирозин, цистин. Присутність фенілаланіну допускається – згідно нормативів.</w:t>
            </w:r>
          </w:p>
          <w:p w:rsidR="0042518B" w:rsidRPr="00C838B6" w:rsidRDefault="0042518B" w:rsidP="005F7FDF">
            <w:pPr>
              <w:pStyle w:val="10"/>
              <w:ind w:left="0"/>
              <w:jc w:val="both"/>
            </w:pPr>
            <w:r>
              <w:rPr>
                <w:color w:val="000000"/>
                <w:shd w:val="clear" w:color="auto" w:fill="FFFFFF"/>
              </w:rPr>
              <w:t>4.</w:t>
            </w:r>
            <w:r w:rsidRPr="00C838B6">
              <w:rPr>
                <w:color w:val="000000"/>
                <w:shd w:val="clear" w:color="auto" w:fill="FFFFFF"/>
              </w:rPr>
              <w:t xml:space="preserve">Вміст суми амінокислот, які вміщують сірку (метіонін та цистеїн), в </w:t>
            </w:r>
            <w:smartTag w:uri="urn:schemas-microsoft-com:office:smarttags" w:element="metricconverter">
              <w:smartTagPr>
                <w:attr w:name="ProductID" w:val="100 г"/>
              </w:smartTagPr>
              <w:r w:rsidRPr="00C838B6">
                <w:rPr>
                  <w:color w:val="000000"/>
                  <w:shd w:val="clear" w:color="auto" w:fill="FFFFFF"/>
                </w:rPr>
                <w:t>100 г</w:t>
              </w:r>
            </w:smartTag>
            <w:r w:rsidRPr="00C838B6">
              <w:rPr>
                <w:color w:val="000000"/>
                <w:shd w:val="clear" w:color="auto" w:fill="FFFFFF"/>
              </w:rPr>
              <w:t xml:space="preserve"> білка - оптимальний, що адаптований до вікової категорії хворого.</w:t>
            </w:r>
          </w:p>
          <w:p w:rsidR="0042518B" w:rsidRPr="00C838B6" w:rsidRDefault="0042518B" w:rsidP="005F7FDF">
            <w:pPr>
              <w:pStyle w:val="10"/>
              <w:ind w:left="0"/>
              <w:jc w:val="both"/>
            </w:pPr>
            <w:r>
              <w:rPr>
                <w:color w:val="000000"/>
                <w:shd w:val="clear" w:color="auto" w:fill="FFFFFF"/>
              </w:rPr>
              <w:t>5.</w:t>
            </w:r>
            <w:r w:rsidRPr="00C838B6">
              <w:rPr>
                <w:color w:val="000000"/>
                <w:shd w:val="clear" w:color="auto" w:fill="FFFFFF"/>
              </w:rPr>
              <w:t xml:space="preserve">Вміст тирозину (г) в </w:t>
            </w:r>
            <w:smartTag w:uri="urn:schemas-microsoft-com:office:smarttags" w:element="metricconverter">
              <w:smartTagPr>
                <w:attr w:name="ProductID" w:val="100 г"/>
              </w:smartTagPr>
              <w:r w:rsidRPr="00C838B6">
                <w:rPr>
                  <w:color w:val="000000"/>
                  <w:shd w:val="clear" w:color="auto" w:fill="FFFFFF"/>
                </w:rPr>
                <w:t>100 г</w:t>
              </w:r>
            </w:smartTag>
            <w:r w:rsidRPr="00C838B6">
              <w:rPr>
                <w:color w:val="000000"/>
                <w:shd w:val="clear" w:color="auto" w:fill="FFFFFF"/>
              </w:rPr>
              <w:t xml:space="preserve"> білка – найвищий, оптимальний, що адаптований до вікової категорії хворого.</w:t>
            </w:r>
          </w:p>
          <w:p w:rsidR="0042518B" w:rsidRPr="00C838B6" w:rsidRDefault="0042518B" w:rsidP="005F7FDF">
            <w:pPr>
              <w:pStyle w:val="10"/>
              <w:ind w:left="0"/>
              <w:jc w:val="both"/>
            </w:pPr>
            <w:r>
              <w:rPr>
                <w:color w:val="000000"/>
                <w:shd w:val="clear" w:color="auto" w:fill="FFFFFF"/>
              </w:rPr>
              <w:t>6.</w:t>
            </w:r>
            <w:r w:rsidRPr="00C838B6">
              <w:rPr>
                <w:color w:val="000000"/>
                <w:shd w:val="clear" w:color="auto" w:fill="FFFFFF"/>
              </w:rPr>
              <w:t xml:space="preserve">Вуглеводний комплекс забезпечено за рахунок моно та полісахаридів при мінімальному вмісті сахарози. </w:t>
            </w:r>
          </w:p>
          <w:p w:rsidR="0042518B" w:rsidRPr="00C838B6" w:rsidRDefault="0042518B" w:rsidP="005F7FDF">
            <w:pPr>
              <w:pStyle w:val="10"/>
              <w:ind w:left="0"/>
              <w:jc w:val="both"/>
            </w:pPr>
            <w:r>
              <w:rPr>
                <w:color w:val="000000"/>
                <w:shd w:val="clear" w:color="auto" w:fill="FFFFFF"/>
              </w:rPr>
              <w:t>7.</w:t>
            </w:r>
            <w:r w:rsidRPr="00C838B6">
              <w:rPr>
                <w:color w:val="000000"/>
                <w:shd w:val="clear" w:color="auto" w:fill="FFFFFF"/>
              </w:rPr>
              <w:t>Наявність в суміші необхідних мінеральних речовин, мікроелементів і вітамінів  у збалансованій кількості..</w:t>
            </w:r>
          </w:p>
          <w:p w:rsidR="0042518B" w:rsidRPr="00C838B6" w:rsidRDefault="0042518B" w:rsidP="005F7FDF">
            <w:pPr>
              <w:pStyle w:val="30"/>
              <w:rPr>
                <w:rFonts w:ascii="Times New Roman" w:hAnsi="Times New Roman"/>
                <w:sz w:val="24"/>
                <w:szCs w:val="24"/>
                <w:lang w:val="uk-UA"/>
              </w:rPr>
            </w:pPr>
            <w:r w:rsidRPr="00C838B6">
              <w:rPr>
                <w:rFonts w:ascii="Times New Roman" w:hAnsi="Times New Roman"/>
                <w:sz w:val="24"/>
                <w:szCs w:val="24"/>
                <w:lang w:val="uk-UA"/>
              </w:rPr>
              <w:t>8. Продукт повинен бути вироблений з дотриманням умов належного виробництва та бути безпечним для використання.</w:t>
            </w:r>
          </w:p>
          <w:p w:rsidR="0042518B" w:rsidRPr="00E11CAE" w:rsidRDefault="0042518B" w:rsidP="00F62D02">
            <w:pPr>
              <w:pStyle w:val="10"/>
              <w:ind w:left="0"/>
              <w:jc w:val="both"/>
            </w:pPr>
          </w:p>
        </w:tc>
        <w:tc>
          <w:tcPr>
            <w:tcW w:w="851" w:type="dxa"/>
            <w:vAlign w:val="center"/>
          </w:tcPr>
          <w:p w:rsidR="0042518B" w:rsidRPr="00E11CAE" w:rsidRDefault="0042518B" w:rsidP="0007426C">
            <w:pPr>
              <w:jc w:val="center"/>
              <w:rPr>
                <w:rFonts w:ascii="Times New Roman" w:hAnsi="Times New Roman" w:cs="Times New Roman"/>
                <w:lang w:val="ru-RU"/>
              </w:rPr>
            </w:pPr>
            <w:r>
              <w:rPr>
                <w:rFonts w:ascii="Times New Roman" w:hAnsi="Times New Roman" w:cs="Times New Roman"/>
                <w:lang w:val="ru-RU"/>
              </w:rPr>
              <w:t>банки</w:t>
            </w:r>
          </w:p>
        </w:tc>
        <w:tc>
          <w:tcPr>
            <w:tcW w:w="1276" w:type="dxa"/>
            <w:vAlign w:val="center"/>
          </w:tcPr>
          <w:p w:rsidR="0042518B" w:rsidRPr="005F7FDF" w:rsidRDefault="00EB5E8F" w:rsidP="0007426C">
            <w:pPr>
              <w:jc w:val="center"/>
              <w:rPr>
                <w:rFonts w:ascii="Times New Roman" w:hAnsi="Times New Roman" w:cs="Times New Roman"/>
                <w:lang w:val="ru-RU"/>
              </w:rPr>
            </w:pPr>
            <w:r>
              <w:rPr>
                <w:rFonts w:ascii="Times New Roman" w:hAnsi="Times New Roman" w:cs="Times New Roman"/>
                <w:lang w:val="ru-RU"/>
              </w:rPr>
              <w:t>76</w:t>
            </w:r>
          </w:p>
        </w:tc>
      </w:tr>
    </w:tbl>
    <w:p w:rsidR="00F62D02" w:rsidRPr="00E11CAE" w:rsidRDefault="00F62D02" w:rsidP="00F62D02">
      <w:pPr>
        <w:spacing w:line="240" w:lineRule="auto"/>
        <w:jc w:val="both"/>
        <w:rPr>
          <w:rFonts w:ascii="Times New Roman" w:hAnsi="Times New Roman" w:cs="Times New Roman"/>
          <w:bCs/>
          <w:sz w:val="24"/>
          <w:szCs w:val="24"/>
        </w:rPr>
      </w:pPr>
    </w:p>
    <w:p w:rsidR="00F62D02" w:rsidRPr="00E11CAE" w:rsidRDefault="00F62D02" w:rsidP="00F62D02">
      <w:pPr>
        <w:spacing w:line="240" w:lineRule="auto"/>
        <w:jc w:val="both"/>
        <w:rPr>
          <w:rFonts w:ascii="Times New Roman" w:hAnsi="Times New Roman" w:cs="Times New Roman"/>
          <w:b/>
          <w:bCs/>
          <w:sz w:val="24"/>
          <w:szCs w:val="24"/>
        </w:rPr>
      </w:pPr>
      <w:r w:rsidRPr="00E11CAE">
        <w:rPr>
          <w:rFonts w:ascii="Times New Roman" w:hAnsi="Times New Roman" w:cs="Times New Roman"/>
          <w:b/>
          <w:bCs/>
          <w:sz w:val="24"/>
          <w:szCs w:val="24"/>
        </w:rPr>
        <w:t>Документальне підтвердження відповідності товарів вимогам документації конкурсних торгів повинно бути наведено наступними документами:</w:t>
      </w:r>
    </w:p>
    <w:p w:rsidR="00F62D02" w:rsidRPr="00E11CAE" w:rsidRDefault="00F62D02" w:rsidP="00F62D02">
      <w:pPr>
        <w:widowControl w:val="0"/>
        <w:shd w:val="clear" w:color="auto" w:fill="FFFFFF"/>
        <w:spacing w:line="240" w:lineRule="auto"/>
        <w:jc w:val="both"/>
        <w:rPr>
          <w:rFonts w:ascii="Times New Roman" w:hAnsi="Times New Roman" w:cs="Times New Roman"/>
          <w:sz w:val="24"/>
          <w:szCs w:val="24"/>
        </w:rPr>
      </w:pPr>
      <w:r w:rsidRPr="00E11CAE">
        <w:rPr>
          <w:rFonts w:ascii="Times New Roman" w:hAnsi="Times New Roman" w:cs="Times New Roman"/>
          <w:sz w:val="24"/>
          <w:szCs w:val="24"/>
        </w:rPr>
        <w:t>1. Товар має бути дозволеним до застосування на території України (Учасник повинен надати документ, що дає дозвіл на використання: копія висновку державної санітарно-епідеміологічної експертизи або іншим документом, що підтверджує безпечність продукту, передбачений чинним законодавством України).</w:t>
      </w:r>
    </w:p>
    <w:p w:rsidR="00F62D02" w:rsidRPr="00E11CAE" w:rsidRDefault="00F62D02" w:rsidP="00F62D02">
      <w:pPr>
        <w:widowControl w:val="0"/>
        <w:shd w:val="clear" w:color="auto" w:fill="FFFFFF"/>
        <w:spacing w:line="240" w:lineRule="auto"/>
        <w:jc w:val="both"/>
        <w:rPr>
          <w:rFonts w:ascii="Times New Roman" w:hAnsi="Times New Roman" w:cs="Times New Roman"/>
          <w:sz w:val="24"/>
          <w:szCs w:val="24"/>
        </w:rPr>
      </w:pPr>
      <w:r w:rsidRPr="00E11CAE">
        <w:rPr>
          <w:rFonts w:ascii="Times New Roman" w:hAnsi="Times New Roman" w:cs="Times New Roman"/>
          <w:sz w:val="24"/>
          <w:szCs w:val="24"/>
        </w:rPr>
        <w:t xml:space="preserve">2. Текст маркування (етикетування), </w:t>
      </w:r>
      <w:r w:rsidRPr="00E11CAE">
        <w:rPr>
          <w:rFonts w:ascii="Times New Roman" w:hAnsi="Times New Roman" w:cs="Times New Roman"/>
          <w:sz w:val="24"/>
          <w:szCs w:val="24"/>
          <w:shd w:val="clear" w:color="auto" w:fill="FFFFFF"/>
        </w:rPr>
        <w:t>належним чином завірена учасником копія</w:t>
      </w:r>
      <w:r w:rsidRPr="00E11CAE">
        <w:rPr>
          <w:rStyle w:val="apple-converted-space"/>
          <w:rFonts w:ascii="Times New Roman" w:hAnsi="Times New Roman"/>
          <w:sz w:val="24"/>
          <w:szCs w:val="24"/>
          <w:shd w:val="clear" w:color="auto" w:fill="FFFFFF"/>
        </w:rPr>
        <w:t> </w:t>
      </w:r>
      <w:r w:rsidRPr="00E11CAE">
        <w:rPr>
          <w:rFonts w:ascii="Times New Roman" w:hAnsi="Times New Roman" w:cs="Times New Roman"/>
          <w:sz w:val="24"/>
          <w:szCs w:val="24"/>
        </w:rPr>
        <w:t xml:space="preserve">, на українській мові. </w:t>
      </w:r>
    </w:p>
    <w:p w:rsidR="00F62D02" w:rsidRPr="00E11CAE" w:rsidRDefault="00F62D02" w:rsidP="00F62D02">
      <w:pPr>
        <w:widowControl w:val="0"/>
        <w:shd w:val="clear" w:color="auto" w:fill="FFFFFF"/>
        <w:spacing w:line="240" w:lineRule="auto"/>
        <w:jc w:val="both"/>
        <w:rPr>
          <w:rFonts w:ascii="Times New Roman" w:hAnsi="Times New Roman" w:cs="Times New Roman"/>
          <w:sz w:val="24"/>
          <w:szCs w:val="24"/>
        </w:rPr>
      </w:pPr>
      <w:r w:rsidRPr="00E11CAE">
        <w:rPr>
          <w:rFonts w:ascii="Times New Roman" w:hAnsi="Times New Roman" w:cs="Times New Roman"/>
          <w:sz w:val="24"/>
          <w:szCs w:val="24"/>
        </w:rPr>
        <w:lastRenderedPageBreak/>
        <w:t>3. Оригінал гарантійного листа або належним чином завіреної копії (у разі необхідності із перекладом на українську мову)  виробника (представництва, філії виробника),  якщо їх відповідні повноваження поширюються на всю територію України, яким підтверджується можливість поставки товару, який є предметом закупівлі на цьому тендері, у кількості та зі строками придатності, а також у терміни поставки, визначені цією тендерною документацією та відповідно пропозицією учасника торгів з посиланням на номер ідентифікатора цієї закупівлі.</w:t>
      </w:r>
    </w:p>
    <w:p w:rsidR="00F62D02" w:rsidRPr="00E11CAE" w:rsidRDefault="00F62D02" w:rsidP="00F62D02">
      <w:pPr>
        <w:widowControl w:val="0"/>
        <w:shd w:val="clear" w:color="auto" w:fill="FFFFFF"/>
        <w:spacing w:line="240" w:lineRule="auto"/>
        <w:jc w:val="both"/>
        <w:rPr>
          <w:rFonts w:ascii="Times New Roman" w:hAnsi="Times New Roman" w:cs="Times New Roman"/>
          <w:sz w:val="24"/>
          <w:szCs w:val="24"/>
        </w:rPr>
      </w:pPr>
      <w:r w:rsidRPr="00E11CAE">
        <w:rPr>
          <w:rFonts w:ascii="Times New Roman" w:hAnsi="Times New Roman" w:cs="Times New Roman"/>
          <w:sz w:val="24"/>
          <w:szCs w:val="24"/>
        </w:rPr>
        <w:t>4. Терміни придатності при отриманні товару повинні бути не менше 50% від загального терміну, визначеного як період від дати виробництва партії товару, який підтверджується маркуванням виробника на банці, до кінцевого терміну придатності, визначеного так само. Для підтвердження учасник надає гарантійний лист про термін придатності товару у довільній формі, підписаний особою , наділеною повноваженнями підписанта , та завірений печаткою учасника (у разі наявності печатки).</w:t>
      </w:r>
    </w:p>
    <w:p w:rsidR="00F62D02" w:rsidRPr="00E11CAE" w:rsidRDefault="00F62D02" w:rsidP="00F62D02">
      <w:pPr>
        <w:spacing w:line="240" w:lineRule="auto"/>
        <w:jc w:val="both"/>
        <w:rPr>
          <w:rFonts w:ascii="Times New Roman" w:hAnsi="Times New Roman" w:cs="Times New Roman"/>
          <w:sz w:val="24"/>
          <w:szCs w:val="24"/>
        </w:rPr>
      </w:pPr>
      <w:r w:rsidRPr="00E11CAE">
        <w:rPr>
          <w:rFonts w:ascii="Times New Roman" w:hAnsi="Times New Roman" w:cs="Times New Roman"/>
          <w:sz w:val="24"/>
          <w:szCs w:val="24"/>
        </w:rPr>
        <w:t>5. Учасник повинен надати у складі тендерної пропозиції  документальне підтвердження відповідності вимогам щодо якості продукту. На продукцію вітчизняного та іноземного виробництва, яка виготовляється за стандартами або технічними умовами, надається копія сертифікату відповідності та/або сертифікату якості, який виданий органом з сертифікації відповідної галузі атестації (акредитації). Сертифікат відповідності та/або якості надається на кожну окрему партію товару який постачається в Україну. У випадку, якщо такий документ не передбачено чинним законодавством – пояснення з цього приводу з посиланням на нормативні документи.</w:t>
      </w:r>
    </w:p>
    <w:p w:rsidR="00F62D02" w:rsidRPr="00E11CAE" w:rsidRDefault="00F62D02" w:rsidP="00F62D02">
      <w:pPr>
        <w:spacing w:line="240" w:lineRule="auto"/>
        <w:jc w:val="both"/>
        <w:rPr>
          <w:rFonts w:ascii="Times New Roman" w:hAnsi="Times New Roman" w:cs="Times New Roman"/>
          <w:sz w:val="24"/>
          <w:szCs w:val="24"/>
        </w:rPr>
      </w:pPr>
      <w:r w:rsidRPr="00E11CAE">
        <w:rPr>
          <w:rFonts w:ascii="Times New Roman" w:hAnsi="Times New Roman" w:cs="Times New Roman"/>
          <w:sz w:val="24"/>
          <w:szCs w:val="24"/>
        </w:rPr>
        <w:t>6. У разі, якщо учасник пропонує до закупівлі еквівалент, він зобов’язаний надати висновок про еквівалентність, який виданий державною установою, яка акредитована на проведення робіт із гігієнічної регламентації.</w:t>
      </w:r>
    </w:p>
    <w:p w:rsidR="00594526" w:rsidRDefault="00594526" w:rsidP="0059452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41AFF" w:rsidRPr="00E11CAE">
        <w:rPr>
          <w:rFonts w:ascii="Times New Roman" w:eastAsia="Times New Roman" w:hAnsi="Times New Roman" w:cs="Times New Roman"/>
          <w:sz w:val="24"/>
          <w:szCs w:val="24"/>
        </w:rPr>
        <w:t xml:space="preserve">Якщо Учасником пропонується </w:t>
      </w:r>
      <w:r w:rsidR="00941AFF" w:rsidRPr="00E11CAE">
        <w:rPr>
          <w:rFonts w:ascii="Times New Roman" w:eastAsia="Times New Roman" w:hAnsi="Times New Roman" w:cs="Times New Roman"/>
          <w:b/>
          <w:sz w:val="24"/>
          <w:szCs w:val="24"/>
        </w:rPr>
        <w:t xml:space="preserve">еквівалент товару </w:t>
      </w:r>
      <w:r w:rsidR="00941AFF" w:rsidRPr="00E11CAE">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p>
    <w:p w:rsidR="00594526" w:rsidRPr="00C838B6" w:rsidRDefault="00594526" w:rsidP="00594526">
      <w:pPr>
        <w:pStyle w:val="30"/>
        <w:rPr>
          <w:rFonts w:ascii="Times New Roman" w:hAnsi="Times New Roman"/>
          <w:sz w:val="24"/>
          <w:szCs w:val="24"/>
          <w:lang w:val="uk-UA"/>
        </w:rPr>
      </w:pPr>
      <w:r>
        <w:rPr>
          <w:rFonts w:ascii="Times New Roman" w:hAnsi="Times New Roman"/>
          <w:sz w:val="24"/>
          <w:szCs w:val="24"/>
          <w:lang w:val="uk-UA"/>
        </w:rPr>
        <w:t>Порівняльна таблиця</w:t>
      </w:r>
      <w:r w:rsidRPr="00C838B6">
        <w:rPr>
          <w:rFonts w:ascii="Times New Roman" w:hAnsi="Times New Roman"/>
          <w:sz w:val="24"/>
          <w:szCs w:val="24"/>
          <w:lang w:val="uk-UA"/>
        </w:rPr>
        <w:t xml:space="preserve"> повинна містити:</w:t>
      </w:r>
    </w:p>
    <w:p w:rsidR="00594526" w:rsidRPr="00C838B6" w:rsidRDefault="00594526" w:rsidP="00594526">
      <w:pPr>
        <w:pStyle w:val="30"/>
        <w:numPr>
          <w:ilvl w:val="0"/>
          <w:numId w:val="4"/>
        </w:numPr>
        <w:rPr>
          <w:rFonts w:ascii="Times New Roman" w:hAnsi="Times New Roman"/>
          <w:sz w:val="24"/>
          <w:szCs w:val="24"/>
          <w:lang w:val="uk-UA"/>
        </w:rPr>
      </w:pPr>
      <w:r w:rsidRPr="00C838B6">
        <w:rPr>
          <w:rFonts w:ascii="Times New Roman" w:hAnsi="Times New Roman"/>
          <w:sz w:val="24"/>
          <w:szCs w:val="24"/>
          <w:lang w:val="uk-UA"/>
        </w:rPr>
        <w:t>Торгівельну назву.</w:t>
      </w:r>
    </w:p>
    <w:p w:rsidR="00594526" w:rsidRPr="00C838B6" w:rsidRDefault="00594526" w:rsidP="00594526">
      <w:pPr>
        <w:pStyle w:val="30"/>
        <w:numPr>
          <w:ilvl w:val="0"/>
          <w:numId w:val="4"/>
        </w:numPr>
        <w:rPr>
          <w:rFonts w:ascii="Times New Roman" w:hAnsi="Times New Roman"/>
          <w:sz w:val="24"/>
          <w:szCs w:val="24"/>
          <w:lang w:val="uk-UA"/>
        </w:rPr>
      </w:pPr>
      <w:r w:rsidRPr="00C838B6">
        <w:rPr>
          <w:rFonts w:ascii="Times New Roman" w:hAnsi="Times New Roman"/>
          <w:sz w:val="24"/>
          <w:szCs w:val="24"/>
          <w:lang w:val="uk-UA"/>
        </w:rPr>
        <w:t>Форму випуску, форма поставки.</w:t>
      </w:r>
    </w:p>
    <w:p w:rsidR="00594526" w:rsidRPr="00C838B6" w:rsidRDefault="00594526" w:rsidP="00594526">
      <w:pPr>
        <w:pStyle w:val="30"/>
        <w:numPr>
          <w:ilvl w:val="0"/>
          <w:numId w:val="4"/>
        </w:numPr>
        <w:rPr>
          <w:rFonts w:ascii="Times New Roman" w:hAnsi="Times New Roman"/>
          <w:sz w:val="24"/>
          <w:szCs w:val="24"/>
          <w:lang w:val="uk-UA"/>
        </w:rPr>
      </w:pPr>
      <w:r w:rsidRPr="00C838B6">
        <w:rPr>
          <w:rFonts w:ascii="Times New Roman" w:hAnsi="Times New Roman"/>
          <w:sz w:val="24"/>
          <w:szCs w:val="24"/>
          <w:lang w:val="uk-UA"/>
        </w:rPr>
        <w:t>Кількість грамів білка у 100 грамах сухого продукту.</w:t>
      </w:r>
    </w:p>
    <w:p w:rsidR="00594526" w:rsidRPr="00C838B6" w:rsidRDefault="00594526" w:rsidP="00594526">
      <w:pPr>
        <w:pStyle w:val="30"/>
        <w:numPr>
          <w:ilvl w:val="0"/>
          <w:numId w:val="4"/>
        </w:numPr>
        <w:rPr>
          <w:rFonts w:ascii="Times New Roman" w:hAnsi="Times New Roman"/>
          <w:sz w:val="24"/>
          <w:szCs w:val="24"/>
          <w:lang w:val="uk-UA"/>
        </w:rPr>
      </w:pPr>
      <w:r w:rsidRPr="00C838B6">
        <w:rPr>
          <w:rFonts w:ascii="Times New Roman" w:hAnsi="Times New Roman"/>
          <w:sz w:val="24"/>
          <w:szCs w:val="24"/>
          <w:lang w:val="uk-UA"/>
        </w:rPr>
        <w:t>Кількість запропонованих одиниць герметичного упакування.</w:t>
      </w:r>
    </w:p>
    <w:p w:rsidR="00594526" w:rsidRPr="00C838B6" w:rsidRDefault="00594526" w:rsidP="00594526">
      <w:pPr>
        <w:pStyle w:val="30"/>
        <w:numPr>
          <w:ilvl w:val="0"/>
          <w:numId w:val="4"/>
        </w:numPr>
        <w:rPr>
          <w:rFonts w:ascii="Times New Roman" w:hAnsi="Times New Roman"/>
          <w:sz w:val="24"/>
          <w:szCs w:val="24"/>
          <w:lang w:val="uk-UA"/>
        </w:rPr>
      </w:pPr>
      <w:r w:rsidRPr="00C838B6">
        <w:rPr>
          <w:rFonts w:ascii="Times New Roman" w:hAnsi="Times New Roman"/>
          <w:sz w:val="24"/>
          <w:szCs w:val="24"/>
          <w:lang w:val="uk-UA"/>
        </w:rPr>
        <w:t>Кількість грамів білка у герметичному упакуванні.</w:t>
      </w:r>
    </w:p>
    <w:p w:rsidR="00594526" w:rsidRPr="00C838B6" w:rsidRDefault="00594526" w:rsidP="00594526">
      <w:pPr>
        <w:pStyle w:val="30"/>
        <w:numPr>
          <w:ilvl w:val="0"/>
          <w:numId w:val="4"/>
        </w:numPr>
        <w:rPr>
          <w:rFonts w:ascii="Times New Roman" w:hAnsi="Times New Roman"/>
          <w:sz w:val="24"/>
          <w:szCs w:val="24"/>
          <w:lang w:val="uk-UA"/>
        </w:rPr>
      </w:pPr>
      <w:r w:rsidRPr="00C838B6">
        <w:rPr>
          <w:rFonts w:ascii="Times New Roman" w:hAnsi="Times New Roman"/>
          <w:sz w:val="24"/>
          <w:szCs w:val="24"/>
          <w:lang w:val="uk-UA"/>
        </w:rPr>
        <w:t>Вартість 1 грама білка.</w:t>
      </w:r>
    </w:p>
    <w:p w:rsidR="00594526" w:rsidRDefault="00594526" w:rsidP="00594526">
      <w:pPr>
        <w:shd w:val="clear" w:color="auto" w:fill="FFFFFF"/>
        <w:spacing w:after="0" w:line="240" w:lineRule="auto"/>
        <w:jc w:val="both"/>
        <w:rPr>
          <w:rFonts w:ascii="Times New Roman" w:eastAsia="Times New Roman" w:hAnsi="Times New Roman" w:cs="Times New Roman"/>
          <w:sz w:val="24"/>
          <w:szCs w:val="24"/>
        </w:rPr>
      </w:pPr>
    </w:p>
    <w:p w:rsidR="00950250" w:rsidRDefault="00941AFF" w:rsidP="00594526">
      <w:pPr>
        <w:shd w:val="clear" w:color="auto" w:fill="FFFFFF"/>
        <w:spacing w:after="0" w:line="240" w:lineRule="auto"/>
        <w:ind w:firstLine="709"/>
        <w:jc w:val="both"/>
        <w:rPr>
          <w:rFonts w:ascii="Times New Roman" w:eastAsia="Times New Roman" w:hAnsi="Times New Roman" w:cs="Times New Roman"/>
          <w:sz w:val="24"/>
          <w:szCs w:val="24"/>
        </w:rPr>
      </w:pPr>
      <w:r w:rsidRPr="00E11CAE">
        <w:rPr>
          <w:rFonts w:ascii="Times New Roman" w:eastAsia="Times New Roman" w:hAnsi="Times New Roman" w:cs="Times New Roman"/>
          <w:sz w:val="24"/>
          <w:szCs w:val="24"/>
        </w:rPr>
        <w:t xml:space="preserve">При цьому якість запропонованого еквіваленту товару має відповідати якості, що заявлена у технічній специфікації Замовника. </w:t>
      </w:r>
      <w:r w:rsidRPr="00E11CA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E11CAE">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w:t>
      </w:r>
      <w:r w:rsidR="00E11CAE" w:rsidRPr="00E11CAE">
        <w:rPr>
          <w:rFonts w:ascii="Times New Roman" w:eastAsia="Times New Roman" w:hAnsi="Times New Roman" w:cs="Times New Roman"/>
          <w:sz w:val="24"/>
          <w:szCs w:val="24"/>
        </w:rPr>
        <w:t>акупівлі тендерної документації</w:t>
      </w:r>
      <w:r w:rsidRPr="00E11CAE">
        <w:rPr>
          <w:rFonts w:ascii="Times New Roman" w:eastAsia="Times New Roman" w:hAnsi="Times New Roman" w:cs="Times New Roman"/>
          <w:sz w:val="24"/>
          <w:szCs w:val="24"/>
        </w:rPr>
        <w:t>.</w:t>
      </w:r>
    </w:p>
    <w:p w:rsidR="00594526" w:rsidRPr="00E11CAE" w:rsidRDefault="00594526" w:rsidP="00594526">
      <w:pPr>
        <w:shd w:val="clear" w:color="auto" w:fill="FFFFFF"/>
        <w:spacing w:after="0" w:line="240" w:lineRule="auto"/>
        <w:ind w:firstLine="460"/>
        <w:jc w:val="both"/>
        <w:rPr>
          <w:rFonts w:ascii="Times New Roman" w:eastAsia="Times New Roman" w:hAnsi="Times New Roman" w:cs="Times New Roman"/>
          <w:b/>
          <w:sz w:val="24"/>
          <w:szCs w:val="24"/>
        </w:rPr>
      </w:pPr>
      <w:r w:rsidRPr="00E11CAE">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E11CAE">
        <w:rPr>
          <w:rFonts w:ascii="Times New Roman" w:eastAsia="Times New Roman" w:hAnsi="Times New Roman" w:cs="Times New Roman"/>
          <w:b/>
          <w:sz w:val="24"/>
          <w:szCs w:val="24"/>
        </w:rPr>
        <w:t>повинно бути обґрунтованим та містити вираз «або еквівалент».</w:t>
      </w:r>
    </w:p>
    <w:p w:rsidR="00594526" w:rsidRPr="00E11CAE" w:rsidRDefault="00594526">
      <w:pPr>
        <w:shd w:val="clear" w:color="auto" w:fill="FFFFFF"/>
        <w:spacing w:after="0" w:line="240" w:lineRule="auto"/>
        <w:ind w:firstLine="720"/>
        <w:jc w:val="both"/>
        <w:rPr>
          <w:rFonts w:ascii="Times New Roman" w:eastAsia="Times New Roman" w:hAnsi="Times New Roman" w:cs="Times New Roman"/>
          <w:sz w:val="24"/>
          <w:szCs w:val="24"/>
        </w:rPr>
      </w:pPr>
    </w:p>
    <w:p w:rsidR="00950250" w:rsidRPr="00E11CAE" w:rsidRDefault="00950250">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Style w:val="af4"/>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9"/>
      </w:tblGrid>
      <w:tr w:rsidR="00950250" w:rsidRPr="00E11CAE">
        <w:tc>
          <w:tcPr>
            <w:tcW w:w="9639" w:type="dxa"/>
            <w:shd w:val="clear" w:color="auto" w:fill="auto"/>
            <w:tcMar>
              <w:top w:w="100" w:type="dxa"/>
              <w:left w:w="100" w:type="dxa"/>
              <w:bottom w:w="100" w:type="dxa"/>
              <w:right w:w="100" w:type="dxa"/>
            </w:tcMar>
          </w:tcPr>
          <w:p w:rsidR="00D1106D" w:rsidRPr="00A87CAA" w:rsidRDefault="00941AFF" w:rsidP="00A87CAA">
            <w:pPr>
              <w:spacing w:after="0" w:line="240" w:lineRule="auto"/>
              <w:jc w:val="both"/>
              <w:rPr>
                <w:rFonts w:ascii="Times New Roman" w:hAnsi="Times New Roman"/>
                <w:sz w:val="24"/>
                <w:szCs w:val="24"/>
              </w:rPr>
            </w:pPr>
            <w:r w:rsidRPr="00E11CAE">
              <w:rPr>
                <w:rFonts w:ascii="Times New Roman" w:eastAsia="Times New Roman" w:hAnsi="Times New Roman" w:cs="Times New Roman"/>
                <w:b/>
                <w:i/>
                <w:sz w:val="24"/>
                <w:szCs w:val="24"/>
              </w:rPr>
              <w:t xml:space="preserve">      </w:t>
            </w:r>
            <w:r w:rsidR="00A87CAA">
              <w:rPr>
                <w:rFonts w:ascii="Times New Roman" w:eastAsia="Times New Roman" w:hAnsi="Times New Roman" w:cs="Times New Roman"/>
                <w:i/>
                <w:sz w:val="24"/>
                <w:szCs w:val="24"/>
              </w:rPr>
              <w:t>З</w:t>
            </w:r>
            <w:r w:rsidRPr="00E11CAE">
              <w:rPr>
                <w:rFonts w:ascii="Times New Roman" w:eastAsia="Times New Roman" w:hAnsi="Times New Roman" w:cs="Times New Roman"/>
                <w:i/>
                <w:sz w:val="24"/>
                <w:szCs w:val="24"/>
              </w:rPr>
              <w:t>ам</w:t>
            </w:r>
            <w:r w:rsidR="00A87CAA">
              <w:rPr>
                <w:rFonts w:ascii="Times New Roman" w:eastAsia="Times New Roman" w:hAnsi="Times New Roman" w:cs="Times New Roman"/>
                <w:i/>
                <w:sz w:val="24"/>
                <w:szCs w:val="24"/>
              </w:rPr>
              <w:t>овник здійснює закупівлю товару</w:t>
            </w:r>
            <w:r w:rsidRPr="00E11CAE">
              <w:rPr>
                <w:rFonts w:ascii="Times New Roman" w:eastAsia="Times New Roman" w:hAnsi="Times New Roman" w:cs="Times New Roman"/>
                <w:i/>
                <w:sz w:val="24"/>
                <w:szCs w:val="24"/>
              </w:rPr>
              <w:t xml:space="preserve"> із встановленням посилань на торгову назву, оскіл</w:t>
            </w:r>
            <w:r w:rsidR="00603C8C">
              <w:rPr>
                <w:rFonts w:ascii="Times New Roman" w:eastAsia="Times New Roman" w:hAnsi="Times New Roman" w:cs="Times New Roman"/>
                <w:i/>
                <w:sz w:val="24"/>
                <w:szCs w:val="24"/>
              </w:rPr>
              <w:t>ьки таке посилання є необхідним</w:t>
            </w:r>
            <w:r w:rsidRPr="00E11CAE">
              <w:rPr>
                <w:rFonts w:ascii="Times New Roman" w:eastAsia="Times New Roman" w:hAnsi="Times New Roman" w:cs="Times New Roman"/>
                <w:i/>
                <w:sz w:val="24"/>
                <w:szCs w:val="24"/>
              </w:rPr>
              <w:t xml:space="preserve"> для здійснення закупівлі </w:t>
            </w:r>
            <w:r w:rsidR="00603C8C">
              <w:rPr>
                <w:rFonts w:ascii="Times New Roman" w:hAnsi="Times New Roman"/>
                <w:i/>
                <w:sz w:val="26"/>
                <w:szCs w:val="26"/>
              </w:rPr>
              <w:t xml:space="preserve">спеціальних харчових </w:t>
            </w:r>
            <w:r w:rsidR="00603C8C">
              <w:rPr>
                <w:rFonts w:ascii="Times New Roman" w:hAnsi="Times New Roman"/>
                <w:i/>
                <w:sz w:val="26"/>
                <w:szCs w:val="26"/>
              </w:rPr>
              <w:lastRenderedPageBreak/>
              <w:t>сумішей</w:t>
            </w:r>
            <w:r w:rsidR="00603C8C" w:rsidRPr="00603C8C">
              <w:rPr>
                <w:rFonts w:ascii="Times New Roman" w:hAnsi="Times New Roman"/>
                <w:i/>
                <w:sz w:val="26"/>
                <w:szCs w:val="26"/>
              </w:rPr>
              <w:t xml:space="preserve"> для дієтичного харчування хворих на фенілкетонурію</w:t>
            </w:r>
            <w:r w:rsidR="000C11CA" w:rsidRPr="000C11CA">
              <w:rPr>
                <w:rFonts w:ascii="Times New Roman" w:hAnsi="Times New Roman" w:cs="Times New Roman"/>
                <w:b/>
                <w:bCs/>
                <w:i/>
                <w:sz w:val="24"/>
                <w:szCs w:val="24"/>
              </w:rPr>
              <w:t xml:space="preserve"> </w:t>
            </w:r>
            <w:r w:rsidR="000C11CA" w:rsidRPr="00A87CAA">
              <w:rPr>
                <w:rFonts w:ascii="Times New Roman" w:hAnsi="Times New Roman" w:cs="Times New Roman"/>
                <w:bCs/>
                <w:i/>
                <w:sz w:val="24"/>
                <w:szCs w:val="24"/>
                <w:lang w:val="en-US"/>
              </w:rPr>
              <w:t>Comida</w:t>
            </w:r>
            <w:r w:rsidR="000C11CA" w:rsidRPr="00A87CAA">
              <w:rPr>
                <w:rFonts w:ascii="Times New Roman" w:hAnsi="Times New Roman" w:cs="Times New Roman"/>
                <w:bCs/>
                <w:i/>
                <w:sz w:val="24"/>
                <w:szCs w:val="24"/>
              </w:rPr>
              <w:t>-</w:t>
            </w:r>
            <w:r w:rsidR="000C11CA" w:rsidRPr="00A87CAA">
              <w:rPr>
                <w:rFonts w:ascii="Times New Roman" w:hAnsi="Times New Roman" w:cs="Times New Roman"/>
                <w:bCs/>
                <w:i/>
                <w:sz w:val="24"/>
                <w:szCs w:val="24"/>
                <w:lang w:val="en-US"/>
              </w:rPr>
              <w:t>PKU</w:t>
            </w:r>
            <w:r w:rsidR="000C11CA" w:rsidRPr="00A87CAA">
              <w:rPr>
                <w:rFonts w:ascii="Times New Roman" w:hAnsi="Times New Roman" w:cs="Times New Roman"/>
                <w:bCs/>
                <w:i/>
                <w:sz w:val="24"/>
                <w:szCs w:val="24"/>
              </w:rPr>
              <w:t xml:space="preserve"> </w:t>
            </w:r>
            <w:r w:rsidR="000C11CA" w:rsidRPr="00A87CAA">
              <w:rPr>
                <w:rFonts w:ascii="Times New Roman" w:hAnsi="Times New Roman" w:cs="Times New Roman"/>
                <w:bCs/>
                <w:i/>
                <w:sz w:val="24"/>
                <w:szCs w:val="24"/>
                <w:lang w:val="en-US"/>
              </w:rPr>
              <w:t>B</w:t>
            </w:r>
            <w:r w:rsidR="00A87CAA" w:rsidRPr="00A87CAA">
              <w:rPr>
                <w:rFonts w:ascii="Times New Roman" w:hAnsi="Times New Roman" w:cs="Times New Roman"/>
                <w:bCs/>
                <w:i/>
                <w:sz w:val="24"/>
                <w:szCs w:val="24"/>
              </w:rPr>
              <w:t>/</w:t>
            </w:r>
            <w:r w:rsidR="000C11CA" w:rsidRPr="00A87CAA">
              <w:rPr>
                <w:rFonts w:ascii="Times New Roman" w:hAnsi="Times New Roman" w:cs="Times New Roman"/>
                <w:bCs/>
                <w:i/>
                <w:sz w:val="24"/>
                <w:szCs w:val="24"/>
              </w:rPr>
              <w:t xml:space="preserve">Коміда-ФКУ В  </w:t>
            </w:r>
            <w:r w:rsidR="000C11CA" w:rsidRPr="00A87CAA">
              <w:rPr>
                <w:rFonts w:ascii="Times New Roman" w:hAnsi="Times New Roman"/>
                <w:bCs/>
                <w:i/>
                <w:sz w:val="24"/>
                <w:szCs w:val="24"/>
                <w:lang w:val="en-US"/>
              </w:rPr>
              <w:t>Comida</w:t>
            </w:r>
            <w:r w:rsidR="000C11CA" w:rsidRPr="00A87CAA">
              <w:rPr>
                <w:rFonts w:ascii="Times New Roman" w:hAnsi="Times New Roman"/>
                <w:bCs/>
                <w:i/>
                <w:sz w:val="24"/>
                <w:szCs w:val="24"/>
              </w:rPr>
              <w:t>-</w:t>
            </w:r>
            <w:r w:rsidR="000C11CA" w:rsidRPr="00A87CAA">
              <w:rPr>
                <w:rFonts w:ascii="Times New Roman" w:hAnsi="Times New Roman"/>
                <w:bCs/>
                <w:i/>
                <w:sz w:val="24"/>
                <w:szCs w:val="24"/>
                <w:lang w:val="en-US"/>
              </w:rPr>
              <w:t>PKU</w:t>
            </w:r>
            <w:r w:rsidR="000C11CA" w:rsidRPr="00A87CAA">
              <w:rPr>
                <w:rFonts w:ascii="Times New Roman" w:hAnsi="Times New Roman"/>
                <w:bCs/>
                <w:i/>
                <w:sz w:val="24"/>
                <w:szCs w:val="24"/>
              </w:rPr>
              <w:t>С/Коміда-ФКУ С</w:t>
            </w:r>
            <w:r w:rsidRPr="00E11CAE">
              <w:rPr>
                <w:rFonts w:ascii="Times New Roman" w:eastAsia="Times New Roman" w:hAnsi="Times New Roman" w:cs="Times New Roman"/>
                <w:i/>
                <w:sz w:val="24"/>
                <w:szCs w:val="24"/>
              </w:rPr>
              <w:t>, як</w:t>
            </w:r>
            <w:r w:rsidR="005C69F7">
              <w:rPr>
                <w:rFonts w:ascii="Times New Roman" w:eastAsia="Times New Roman" w:hAnsi="Times New Roman" w:cs="Times New Roman"/>
                <w:i/>
                <w:sz w:val="24"/>
                <w:szCs w:val="24"/>
              </w:rPr>
              <w:t>і</w:t>
            </w:r>
            <w:r w:rsidRPr="00E11CAE">
              <w:rPr>
                <w:rFonts w:ascii="Times New Roman" w:eastAsia="Times New Roman" w:hAnsi="Times New Roman" w:cs="Times New Roman"/>
                <w:i/>
                <w:sz w:val="24"/>
                <w:szCs w:val="24"/>
              </w:rPr>
              <w:t xml:space="preserve"> за своїми якісними та медико-технічними характеристиками найбільше відповідатим</w:t>
            </w:r>
            <w:r w:rsidR="005C69F7">
              <w:rPr>
                <w:rFonts w:ascii="Times New Roman" w:eastAsia="Times New Roman" w:hAnsi="Times New Roman" w:cs="Times New Roman"/>
                <w:i/>
                <w:sz w:val="24"/>
                <w:szCs w:val="24"/>
              </w:rPr>
              <w:t>уть</w:t>
            </w:r>
            <w:r w:rsidR="00D1106D">
              <w:rPr>
                <w:rFonts w:ascii="Times New Roman" w:eastAsia="Times New Roman" w:hAnsi="Times New Roman" w:cs="Times New Roman"/>
                <w:i/>
                <w:sz w:val="24"/>
                <w:szCs w:val="24"/>
              </w:rPr>
              <w:t xml:space="preserve"> заключенням генетиків</w:t>
            </w:r>
            <w:r w:rsidRPr="00E11CAE">
              <w:rPr>
                <w:rFonts w:ascii="Times New Roman" w:eastAsia="Times New Roman" w:hAnsi="Times New Roman" w:cs="Times New Roman"/>
                <w:i/>
                <w:sz w:val="24"/>
                <w:szCs w:val="24"/>
              </w:rPr>
              <w:t xml:space="preserve">. </w:t>
            </w:r>
          </w:p>
          <w:p w:rsidR="00950250" w:rsidRPr="00E11CAE" w:rsidRDefault="00950250" w:rsidP="00E11CAE">
            <w:pPr>
              <w:shd w:val="clear" w:color="auto" w:fill="FFFFFF"/>
              <w:spacing w:after="0" w:line="240" w:lineRule="auto"/>
              <w:ind w:firstLine="460"/>
              <w:jc w:val="both"/>
              <w:rPr>
                <w:rFonts w:ascii="Times New Roman" w:eastAsia="Times New Roman" w:hAnsi="Times New Roman" w:cs="Times New Roman"/>
                <w:i/>
                <w:sz w:val="24"/>
                <w:szCs w:val="24"/>
              </w:rPr>
            </w:pPr>
          </w:p>
        </w:tc>
      </w:tr>
    </w:tbl>
    <w:p w:rsidR="00950250" w:rsidRPr="00E11CAE" w:rsidRDefault="00950250">
      <w:pPr>
        <w:shd w:val="clear" w:color="auto" w:fill="FFFFFF"/>
        <w:spacing w:after="0" w:line="240" w:lineRule="auto"/>
        <w:ind w:firstLine="460"/>
        <w:jc w:val="both"/>
        <w:rPr>
          <w:rFonts w:ascii="Times New Roman" w:eastAsia="Times New Roman" w:hAnsi="Times New Roman" w:cs="Times New Roman"/>
          <w:b/>
          <w:i/>
          <w:sz w:val="24"/>
          <w:szCs w:val="24"/>
        </w:rPr>
      </w:pPr>
    </w:p>
    <w:p w:rsidR="00950250" w:rsidRPr="00E11CAE" w:rsidRDefault="00950250">
      <w:pPr>
        <w:shd w:val="clear" w:color="auto" w:fill="FFFFFF"/>
        <w:spacing w:after="0" w:line="240" w:lineRule="auto"/>
        <w:ind w:firstLine="460"/>
        <w:jc w:val="both"/>
        <w:rPr>
          <w:rFonts w:ascii="Times New Roman" w:eastAsia="Times New Roman" w:hAnsi="Times New Roman" w:cs="Times New Roman"/>
          <w:b/>
          <w:i/>
          <w:sz w:val="24"/>
          <w:szCs w:val="24"/>
        </w:rPr>
      </w:pPr>
    </w:p>
    <w:p w:rsidR="00950250" w:rsidRPr="00E11CAE" w:rsidRDefault="00950250">
      <w:pPr>
        <w:spacing w:after="0" w:line="240" w:lineRule="auto"/>
        <w:jc w:val="both"/>
        <w:rPr>
          <w:rFonts w:ascii="Times New Roman" w:eastAsia="Times New Roman" w:hAnsi="Times New Roman" w:cs="Times New Roman"/>
          <w:sz w:val="24"/>
          <w:szCs w:val="24"/>
        </w:rPr>
      </w:pPr>
    </w:p>
    <w:sectPr w:rsidR="00950250" w:rsidRPr="00E11CAE" w:rsidSect="004F7023">
      <w:headerReference w:type="default" r:id="rId9"/>
      <w:pgSz w:w="11906" w:h="16838"/>
      <w:pgMar w:top="426" w:right="850" w:bottom="850" w:left="1417" w:header="426"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D6B" w:rsidRDefault="00B63D6B" w:rsidP="004F7023">
      <w:pPr>
        <w:spacing w:after="0" w:line="240" w:lineRule="auto"/>
      </w:pPr>
      <w:r>
        <w:separator/>
      </w:r>
    </w:p>
  </w:endnote>
  <w:endnote w:type="continuationSeparator" w:id="1">
    <w:p w:rsidR="00B63D6B" w:rsidRDefault="00B63D6B" w:rsidP="004F7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D6B" w:rsidRDefault="00B63D6B" w:rsidP="004F7023">
      <w:pPr>
        <w:spacing w:after="0" w:line="240" w:lineRule="auto"/>
      </w:pPr>
      <w:r>
        <w:separator/>
      </w:r>
    </w:p>
  </w:footnote>
  <w:footnote w:type="continuationSeparator" w:id="1">
    <w:p w:rsidR="00B63D6B" w:rsidRDefault="00B63D6B" w:rsidP="004F7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887878"/>
      <w:docPartObj>
        <w:docPartGallery w:val="Page Numbers (Top of Page)"/>
        <w:docPartUnique/>
      </w:docPartObj>
    </w:sdtPr>
    <w:sdtContent>
      <w:p w:rsidR="004F7023" w:rsidRDefault="00A91BD8">
        <w:pPr>
          <w:pStyle w:val="af5"/>
          <w:jc w:val="center"/>
        </w:pPr>
        <w:fldSimple w:instr=" PAGE   \* MERGEFORMAT ">
          <w:r w:rsidR="00EB5E8F">
            <w:rPr>
              <w:noProof/>
            </w:rPr>
            <w:t>1</w:t>
          </w:r>
        </w:fldSimple>
      </w:p>
    </w:sdtContent>
  </w:sdt>
  <w:p w:rsidR="004F7023" w:rsidRDefault="004F702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B5766"/>
    <w:multiLevelType w:val="hybridMultilevel"/>
    <w:tmpl w:val="FAC06006"/>
    <w:lvl w:ilvl="0" w:tplc="0419000F">
      <w:start w:val="2"/>
      <w:numFmt w:val="decimal"/>
      <w:lvlText w:val="%1."/>
      <w:lvlJc w:val="left"/>
      <w:pPr>
        <w:tabs>
          <w:tab w:val="num" w:pos="610"/>
        </w:tabs>
        <w:ind w:left="61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F805422"/>
    <w:multiLevelType w:val="hybridMultilevel"/>
    <w:tmpl w:val="95CC4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3E5460"/>
    <w:multiLevelType w:val="hybridMultilevel"/>
    <w:tmpl w:val="E014F1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44D1B90"/>
    <w:multiLevelType w:val="multilevel"/>
    <w:tmpl w:val="3652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950250"/>
    <w:rsid w:val="000C11CA"/>
    <w:rsid w:val="001A0ED5"/>
    <w:rsid w:val="001C4712"/>
    <w:rsid w:val="002778D9"/>
    <w:rsid w:val="002A5C38"/>
    <w:rsid w:val="002C0390"/>
    <w:rsid w:val="002F0AEA"/>
    <w:rsid w:val="003C62E7"/>
    <w:rsid w:val="00420A1D"/>
    <w:rsid w:val="0042518B"/>
    <w:rsid w:val="004F7023"/>
    <w:rsid w:val="005726E1"/>
    <w:rsid w:val="00594526"/>
    <w:rsid w:val="005C69F7"/>
    <w:rsid w:val="005F7FDF"/>
    <w:rsid w:val="00602525"/>
    <w:rsid w:val="00603C8C"/>
    <w:rsid w:val="006A4356"/>
    <w:rsid w:val="006C0939"/>
    <w:rsid w:val="006F5C31"/>
    <w:rsid w:val="006F7D27"/>
    <w:rsid w:val="00732D7E"/>
    <w:rsid w:val="007D3B77"/>
    <w:rsid w:val="007D4DC0"/>
    <w:rsid w:val="00806191"/>
    <w:rsid w:val="008E5C48"/>
    <w:rsid w:val="00941AFF"/>
    <w:rsid w:val="00945B15"/>
    <w:rsid w:val="00950250"/>
    <w:rsid w:val="00A87CAA"/>
    <w:rsid w:val="00A91BD8"/>
    <w:rsid w:val="00B27BAF"/>
    <w:rsid w:val="00B415C5"/>
    <w:rsid w:val="00B63D6B"/>
    <w:rsid w:val="00C30001"/>
    <w:rsid w:val="00D1106D"/>
    <w:rsid w:val="00E11CAE"/>
    <w:rsid w:val="00E2513A"/>
    <w:rsid w:val="00E54C04"/>
    <w:rsid w:val="00E61119"/>
    <w:rsid w:val="00EB5E8F"/>
    <w:rsid w:val="00F31D9E"/>
    <w:rsid w:val="00F569C9"/>
    <w:rsid w:val="00F62D02"/>
    <w:rsid w:val="00F81160"/>
    <w:rsid w:val="00F96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950250"/>
    <w:pPr>
      <w:keepNext/>
      <w:keepLines/>
      <w:spacing w:before="480" w:after="120"/>
      <w:outlineLvl w:val="0"/>
    </w:pPr>
    <w:rPr>
      <w:b/>
      <w:sz w:val="48"/>
      <w:szCs w:val="48"/>
    </w:rPr>
  </w:style>
  <w:style w:type="paragraph" w:styleId="2">
    <w:name w:val="heading 2"/>
    <w:basedOn w:val="a"/>
    <w:next w:val="a"/>
    <w:uiPriority w:val="9"/>
    <w:semiHidden/>
    <w:unhideWhenUsed/>
    <w:qFormat/>
    <w:rsid w:val="00950250"/>
    <w:pPr>
      <w:keepNext/>
      <w:keepLines/>
      <w:spacing w:before="360" w:after="80"/>
      <w:outlineLvl w:val="1"/>
    </w:pPr>
    <w:rPr>
      <w:b/>
      <w:sz w:val="36"/>
      <w:szCs w:val="36"/>
    </w:rPr>
  </w:style>
  <w:style w:type="paragraph" w:styleId="3">
    <w:name w:val="heading 3"/>
    <w:basedOn w:val="a"/>
    <w:next w:val="a"/>
    <w:uiPriority w:val="9"/>
    <w:semiHidden/>
    <w:unhideWhenUsed/>
    <w:qFormat/>
    <w:rsid w:val="00950250"/>
    <w:pPr>
      <w:keepNext/>
      <w:keepLines/>
      <w:spacing w:before="280" w:after="80"/>
      <w:outlineLvl w:val="2"/>
    </w:pPr>
    <w:rPr>
      <w:b/>
      <w:sz w:val="28"/>
      <w:szCs w:val="28"/>
    </w:rPr>
  </w:style>
  <w:style w:type="paragraph" w:styleId="4">
    <w:name w:val="heading 4"/>
    <w:basedOn w:val="a"/>
    <w:next w:val="a"/>
    <w:uiPriority w:val="9"/>
    <w:semiHidden/>
    <w:unhideWhenUsed/>
    <w:qFormat/>
    <w:rsid w:val="00950250"/>
    <w:pPr>
      <w:keepNext/>
      <w:keepLines/>
      <w:spacing w:before="240" w:after="40"/>
      <w:outlineLvl w:val="3"/>
    </w:pPr>
    <w:rPr>
      <w:b/>
      <w:sz w:val="24"/>
      <w:szCs w:val="24"/>
    </w:rPr>
  </w:style>
  <w:style w:type="paragraph" w:styleId="5">
    <w:name w:val="heading 5"/>
    <w:basedOn w:val="a"/>
    <w:next w:val="a"/>
    <w:uiPriority w:val="9"/>
    <w:semiHidden/>
    <w:unhideWhenUsed/>
    <w:qFormat/>
    <w:rsid w:val="00950250"/>
    <w:pPr>
      <w:keepNext/>
      <w:keepLines/>
      <w:spacing w:before="220" w:after="40"/>
      <w:outlineLvl w:val="4"/>
    </w:pPr>
    <w:rPr>
      <w:b/>
    </w:rPr>
  </w:style>
  <w:style w:type="paragraph" w:styleId="6">
    <w:name w:val="heading 6"/>
    <w:basedOn w:val="a"/>
    <w:next w:val="a"/>
    <w:uiPriority w:val="9"/>
    <w:semiHidden/>
    <w:unhideWhenUsed/>
    <w:qFormat/>
    <w:rsid w:val="009502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50250"/>
  </w:style>
  <w:style w:type="table" w:customStyle="1" w:styleId="TableNormal">
    <w:name w:val="Table Normal"/>
    <w:rsid w:val="00950250"/>
    <w:tblPr>
      <w:tblCellMar>
        <w:top w:w="0" w:type="dxa"/>
        <w:left w:w="0" w:type="dxa"/>
        <w:bottom w:w="0" w:type="dxa"/>
        <w:right w:w="0" w:type="dxa"/>
      </w:tblCellMar>
    </w:tblPr>
  </w:style>
  <w:style w:type="paragraph" w:styleId="a3">
    <w:name w:val="Title"/>
    <w:basedOn w:val="a"/>
    <w:next w:val="a"/>
    <w:uiPriority w:val="10"/>
    <w:qFormat/>
    <w:rsid w:val="00950250"/>
    <w:pPr>
      <w:keepNext/>
      <w:keepLines/>
      <w:spacing w:before="480" w:after="120"/>
    </w:pPr>
    <w:rPr>
      <w:b/>
      <w:sz w:val="72"/>
      <w:szCs w:val="72"/>
    </w:rPr>
  </w:style>
  <w:style w:type="paragraph" w:customStyle="1" w:styleId="normal0">
    <w:name w:val="normal"/>
    <w:rsid w:val="00950250"/>
  </w:style>
  <w:style w:type="table" w:customStyle="1" w:styleId="TableNormal0">
    <w:name w:val="Table Normal"/>
    <w:rsid w:val="00950250"/>
    <w:tblPr>
      <w:tblCellMar>
        <w:top w:w="0" w:type="dxa"/>
        <w:left w:w="0" w:type="dxa"/>
        <w:bottom w:w="0" w:type="dxa"/>
        <w:right w:w="0" w:type="dxa"/>
      </w:tblCellMar>
    </w:tblPr>
  </w:style>
  <w:style w:type="table" w:customStyle="1" w:styleId="TableNormal1">
    <w:name w:val="Table Normal"/>
    <w:rsid w:val="00950250"/>
    <w:tblPr>
      <w:tblCellMar>
        <w:top w:w="0" w:type="dxa"/>
        <w:left w:w="0" w:type="dxa"/>
        <w:bottom w:w="0" w:type="dxa"/>
        <w:right w:w="0" w:type="dxa"/>
      </w:tblCellMar>
    </w:tblPr>
  </w:style>
  <w:style w:type="paragraph" w:styleId="a4">
    <w:name w:val="Subtitle"/>
    <w:basedOn w:val="normal0"/>
    <w:next w:val="normal0"/>
    <w:rsid w:val="0095025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950250"/>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950250"/>
    <w:tblPr>
      <w:tblStyleRowBandSize w:val="1"/>
      <w:tblStyleColBandSize w:val="1"/>
      <w:tblCellMar>
        <w:top w:w="100" w:type="dxa"/>
        <w:left w:w="100" w:type="dxa"/>
        <w:bottom w:w="100" w:type="dxa"/>
        <w:right w:w="100" w:type="dxa"/>
      </w:tblCellMar>
    </w:tblPr>
  </w:style>
  <w:style w:type="table" w:customStyle="1" w:styleId="af0">
    <w:basedOn w:val="TableNormal1"/>
    <w:rsid w:val="00950250"/>
    <w:tblPr>
      <w:tblStyleRowBandSize w:val="1"/>
      <w:tblStyleColBandSize w:val="1"/>
      <w:tblCellMar>
        <w:top w:w="100" w:type="dxa"/>
        <w:left w:w="100" w:type="dxa"/>
        <w:bottom w:w="100" w:type="dxa"/>
        <w:right w:w="100" w:type="dxa"/>
      </w:tblCellMar>
    </w:tblPr>
  </w:style>
  <w:style w:type="table" w:customStyle="1" w:styleId="af1">
    <w:basedOn w:val="TableNormal1"/>
    <w:rsid w:val="00950250"/>
    <w:tblPr>
      <w:tblStyleRowBandSize w:val="1"/>
      <w:tblStyleColBandSize w:val="1"/>
      <w:tblCellMar>
        <w:top w:w="100" w:type="dxa"/>
        <w:left w:w="100" w:type="dxa"/>
        <w:bottom w:w="100" w:type="dxa"/>
        <w:right w:w="100" w:type="dxa"/>
      </w:tblCellMar>
    </w:tblPr>
  </w:style>
  <w:style w:type="table" w:customStyle="1" w:styleId="af2">
    <w:basedOn w:val="TableNormal1"/>
    <w:rsid w:val="00950250"/>
    <w:tblPr>
      <w:tblStyleRowBandSize w:val="1"/>
      <w:tblStyleColBandSize w:val="1"/>
      <w:tblCellMar>
        <w:top w:w="100" w:type="dxa"/>
        <w:left w:w="100" w:type="dxa"/>
        <w:bottom w:w="100" w:type="dxa"/>
        <w:right w:w="100" w:type="dxa"/>
      </w:tblCellMar>
    </w:tblPr>
  </w:style>
  <w:style w:type="table" w:customStyle="1" w:styleId="af3">
    <w:basedOn w:val="TableNormal1"/>
    <w:rsid w:val="00950250"/>
    <w:tblPr>
      <w:tblStyleRowBandSize w:val="1"/>
      <w:tblStyleColBandSize w:val="1"/>
      <w:tblCellMar>
        <w:top w:w="100" w:type="dxa"/>
        <w:left w:w="100" w:type="dxa"/>
        <w:bottom w:w="100" w:type="dxa"/>
        <w:right w:w="100" w:type="dxa"/>
      </w:tblCellMar>
    </w:tblPr>
  </w:style>
  <w:style w:type="table" w:customStyle="1" w:styleId="af4">
    <w:basedOn w:val="TableNormal1"/>
    <w:rsid w:val="00950250"/>
    <w:tblPr>
      <w:tblStyleRowBandSize w:val="1"/>
      <w:tblStyleColBandSize w:val="1"/>
      <w:tblCellMar>
        <w:top w:w="100" w:type="dxa"/>
        <w:left w:w="100" w:type="dxa"/>
        <w:bottom w:w="100" w:type="dxa"/>
        <w:right w:w="100" w:type="dxa"/>
      </w:tblCellMar>
    </w:tblPr>
  </w:style>
  <w:style w:type="character" w:customStyle="1" w:styleId="rvts0">
    <w:name w:val="rvts0"/>
    <w:basedOn w:val="a0"/>
    <w:rsid w:val="00806191"/>
  </w:style>
  <w:style w:type="paragraph" w:customStyle="1" w:styleId="10">
    <w:name w:val="Абзац списка1"/>
    <w:basedOn w:val="a"/>
    <w:qFormat/>
    <w:rsid w:val="00F62D02"/>
    <w:pPr>
      <w:spacing w:after="0" w:line="240" w:lineRule="auto"/>
      <w:ind w:left="720"/>
      <w:contextualSpacing/>
    </w:pPr>
    <w:rPr>
      <w:rFonts w:ascii="Times New Roman" w:hAnsi="Times New Roman" w:cs="Times New Roman"/>
      <w:sz w:val="24"/>
      <w:szCs w:val="24"/>
      <w:lang w:eastAsia="uk-UA"/>
    </w:rPr>
  </w:style>
  <w:style w:type="character" w:customStyle="1" w:styleId="apple-converted-space">
    <w:name w:val="apple-converted-space"/>
    <w:rsid w:val="00F62D02"/>
    <w:rPr>
      <w:rFonts w:cs="Times New Roman"/>
    </w:rPr>
  </w:style>
  <w:style w:type="paragraph" w:customStyle="1" w:styleId="30">
    <w:name w:val="Без интервала3"/>
    <w:rsid w:val="005F7FDF"/>
    <w:pPr>
      <w:spacing w:after="0" w:line="240" w:lineRule="auto"/>
    </w:pPr>
    <w:rPr>
      <w:rFonts w:cs="Times New Roman"/>
      <w:lang w:val="ru-RU" w:eastAsia="en-US"/>
    </w:rPr>
  </w:style>
  <w:style w:type="paragraph" w:styleId="af5">
    <w:name w:val="header"/>
    <w:basedOn w:val="a"/>
    <w:link w:val="af6"/>
    <w:uiPriority w:val="99"/>
    <w:unhideWhenUsed/>
    <w:rsid w:val="004F702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F7023"/>
  </w:style>
  <w:style w:type="paragraph" w:styleId="af7">
    <w:name w:val="footer"/>
    <w:basedOn w:val="a"/>
    <w:link w:val="af8"/>
    <w:uiPriority w:val="99"/>
    <w:semiHidden/>
    <w:unhideWhenUsed/>
    <w:rsid w:val="004F7023"/>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4F702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B430E6BF-E0E9-44C8-9157-68B641E165E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873</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cp:revision>
  <dcterms:created xsi:type="dcterms:W3CDTF">2023-02-09T09:37:00Z</dcterms:created>
  <dcterms:modified xsi:type="dcterms:W3CDTF">2023-02-09T09:37:00Z</dcterms:modified>
</cp:coreProperties>
</file>