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Дата укладання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22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hAnsi="Times New Roman"/>
          <w:sz w:val="24"/>
          <w:szCs w:val="24"/>
          <w:lang w:val="uk-UA"/>
        </w:rPr>
        <w:t>11</w:t>
      </w:r>
      <w:r>
        <w:rPr>
          <w:rFonts w:ascii="Times New Roman" w:cs="Times New Roman" w:hAnsi="Times New Roman"/>
          <w:sz w:val="24"/>
          <w:szCs w:val="24"/>
          <w:lang w:val="uk-UA"/>
        </w:rPr>
        <w:t>.2022</w:t>
      </w:r>
      <w:r>
        <w:rPr>
          <w:rFonts w:ascii="Times New Roman" w:cs="Times New Roman" w:hAnsi="Times New Roman"/>
          <w:sz w:val="24"/>
          <w:szCs w:val="24"/>
          <w:lang w:val="uk-UA"/>
        </w:rPr>
        <w:t>р.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61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>
        <w:rPr>
          <w:rFonts w:ascii="Times New Roman" w:cs="Times New Roman" w:hAnsi="Times New Roman"/>
          <w:sz w:val="24"/>
          <w:szCs w:val="24"/>
          <w:lang w:val="uk-UA"/>
        </w:rPr>
        <w:t>т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чи надавача послуг: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Конкретна назва предмета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заку</w:t>
      </w:r>
      <w:r>
        <w:rPr>
          <w:rFonts w:ascii="Times New Roman" w:cs="Times New Roman" w:hAnsi="Times New Roman"/>
          <w:sz w:val="24"/>
          <w:szCs w:val="24"/>
          <w:lang w:val="uk-UA"/>
        </w:rPr>
        <w:t>пів</w:t>
      </w:r>
      <w:r>
        <w:rPr>
          <w:rFonts w:ascii="Times New Roman" w:cs="Times New Roman" w:hAnsi="Times New Roman"/>
          <w:sz w:val="24"/>
          <w:szCs w:val="24"/>
          <w:lang w:val="uk-UA"/>
        </w:rPr>
        <w:t>лі.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Л</w:t>
      </w:r>
      <w:r>
        <w:rPr>
          <w:rFonts w:ascii="Times New Roman" w:cs="Times New Roman" w:hAnsi="Times New Roman"/>
          <w:sz w:val="24"/>
          <w:szCs w:val="24"/>
          <w:lang w:val="uk-UA"/>
        </w:rPr>
        <w:t>амінат,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підложка</w:t>
      </w:r>
      <w:r>
        <w:rPr>
          <w:rFonts w:ascii="Times New Roman" w:cs="Times New Roman" w:hAnsi="Times New Roman"/>
          <w:sz w:val="24"/>
          <w:szCs w:val="24"/>
          <w:lang w:val="uk-UA"/>
        </w:rPr>
        <w:t>,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плитка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та цемент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  <w:lang w:val="uk-UA"/>
        </w:rPr>
        <w:t>21</w:t>
      </w:r>
      <w:r>
        <w:rPr>
          <w:rFonts w:ascii="Times New Roman" w:cs="Times New Roman" w:hAnsi="Times New Roman"/>
          <w:sz w:val="24"/>
          <w:szCs w:val="24"/>
          <w:lang w:val="uk-UA"/>
        </w:rPr>
        <w:t>:2015</w:t>
      </w:r>
      <w:r>
        <w:rPr>
          <w:rFonts w:ascii="Times New Roman" w:cs="Times New Roman" w:hAnsi="Times New Roman"/>
          <w:sz w:val="24"/>
          <w:szCs w:val="24"/>
          <w:lang w:val="uk-UA"/>
        </w:rPr>
        <w:t>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44110000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4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Конструкційні матеріали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</w:t>
      </w:r>
      <w:r>
        <w:rPr>
          <w:rFonts w:ascii="Times New Roman" w:cs="Times New Roman" w:hAnsi="Times New Roman"/>
          <w:sz w:val="24"/>
          <w:szCs w:val="24"/>
          <w:lang w:val="uk-UA"/>
        </w:rPr>
        <w:t>іст</w:t>
      </w:r>
      <w:r>
        <w:rPr>
          <w:rFonts w:ascii="Times New Roman" w:cs="Times New Roman" w:hAnsi="Times New Roman"/>
          <w:sz w:val="24"/>
          <w:szCs w:val="24"/>
          <w:lang w:val="uk-UA"/>
        </w:rPr>
        <w:t>ь то</w:t>
      </w:r>
      <w:r>
        <w:rPr>
          <w:rFonts w:ascii="Times New Roman" w:cs="Times New Roman" w:hAnsi="Times New Roman"/>
          <w:sz w:val="24"/>
          <w:szCs w:val="24"/>
          <w:lang w:val="uk-UA"/>
        </w:rPr>
        <w:t>в</w:t>
      </w:r>
      <w:r>
        <w:rPr>
          <w:rFonts w:ascii="Times New Roman" w:cs="Times New Roman" w:hAnsi="Times New Roman"/>
          <w:sz w:val="24"/>
          <w:szCs w:val="24"/>
          <w:lang w:val="uk-UA"/>
        </w:rPr>
        <w:t>арів, робі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т чи послуг. </w:t>
      </w:r>
      <w:r>
        <w:rPr>
          <w:rFonts w:ascii="Times New Roman" w:cs="Times New Roman" w:hAnsi="Times New Roman"/>
          <w:sz w:val="24"/>
          <w:szCs w:val="24"/>
          <w:lang w:val="uk-UA"/>
        </w:rPr>
        <w:t>1</w:t>
      </w:r>
      <w:r>
        <w:rPr>
          <w:rFonts w:ascii="Times New Roman" w:cs="Times New Roman" w:hAnsi="Times New Roman"/>
          <w:sz w:val="24"/>
          <w:szCs w:val="24"/>
          <w:lang w:val="uk-UA"/>
        </w:rPr>
        <w:t>15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шт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Україна,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65020,</w:t>
      </w:r>
      <w:r>
        <w:rPr>
          <w:rFonts w:ascii="Times New Roman" w:cs="Times New Roman" w:hAnsi="Times New Roman"/>
          <w:sz w:val="24"/>
          <w:szCs w:val="24"/>
          <w:lang w:val="uk-UA"/>
        </w:rPr>
        <w:t>м. О</w:t>
      </w:r>
      <w:r>
        <w:rPr>
          <w:rFonts w:ascii="Times New Roman" w:cs="Times New Roman" w:hAnsi="Times New Roman"/>
          <w:sz w:val="24"/>
          <w:szCs w:val="24"/>
          <w:lang w:val="uk-UA"/>
        </w:rPr>
        <w:t>де</w:t>
      </w:r>
      <w:r>
        <w:rPr>
          <w:rFonts w:ascii="Times New Roman" w:cs="Times New Roman" w:hAnsi="Times New Roman"/>
          <w:sz w:val="24"/>
          <w:szCs w:val="24"/>
          <w:lang w:val="uk-UA"/>
        </w:rPr>
        <w:t>са</w:t>
      </w:r>
      <w:r>
        <w:rPr>
          <w:rFonts w:ascii="Times New Roman" w:cs="Times New Roman" w:hAnsi="Times New Roman"/>
          <w:sz w:val="24"/>
          <w:szCs w:val="24"/>
          <w:lang w:val="uk-UA"/>
        </w:rPr>
        <w:t>,</w:t>
      </w:r>
      <w:r>
        <w:rPr>
          <w:rFonts w:ascii="Times New Roman" w:cs="Times New Roman" w:hAnsi="Times New Roman"/>
          <w:sz w:val="24"/>
          <w:szCs w:val="24"/>
          <w:lang w:val="uk-UA"/>
        </w:rPr>
        <w:t>вул.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26.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</w:t>
      </w:r>
      <w:r>
        <w:rPr>
          <w:rFonts w:ascii="Times New Roman" w:cs="Times New Roman" w:hAnsi="Times New Roman"/>
          <w:sz w:val="24"/>
          <w:szCs w:val="24"/>
          <w:lang w:val="uk-UA"/>
        </w:rPr>
        <w:t>ня робіт чи нада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ння </w:t>
      </w:r>
      <w:r>
        <w:rPr>
          <w:rFonts w:ascii="Times New Roman" w:cs="Times New Roman" w:hAnsi="Times New Roman"/>
          <w:sz w:val="24"/>
          <w:szCs w:val="24"/>
          <w:lang w:val="uk-UA"/>
        </w:rPr>
        <w:t>послуг.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з 22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hAnsi="Times New Roman"/>
          <w:sz w:val="24"/>
          <w:szCs w:val="24"/>
          <w:lang w:val="uk-UA"/>
        </w:rPr>
        <w:t>11</w:t>
      </w:r>
      <w:r>
        <w:rPr>
          <w:rFonts w:ascii="Times New Roman" w:cs="Times New Roman" w:hAnsi="Times New Roman"/>
          <w:sz w:val="24"/>
          <w:szCs w:val="24"/>
          <w:lang w:val="uk-UA"/>
        </w:rPr>
        <w:t>.2022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р. до </w:t>
      </w:r>
      <w:r>
        <w:rPr>
          <w:rFonts w:ascii="Times New Roman" w:cs="Times New Roman" w:hAnsi="Times New Roman"/>
          <w:sz w:val="24"/>
          <w:szCs w:val="24"/>
          <w:lang w:val="uk-UA"/>
        </w:rPr>
        <w:t>31</w:t>
      </w:r>
      <w:r>
        <w:rPr>
          <w:rFonts w:ascii="Times New Roman" w:cs="Times New Roman" w:hAnsi="Times New Roman"/>
          <w:sz w:val="24"/>
          <w:szCs w:val="24"/>
          <w:lang w:val="uk-UA"/>
        </w:rPr>
        <w:t>.12</w:t>
      </w:r>
      <w:r>
        <w:rPr>
          <w:rFonts w:ascii="Times New Roman" w:cs="Times New Roman" w:hAnsi="Times New Roman"/>
          <w:sz w:val="24"/>
          <w:szCs w:val="24"/>
          <w:lang w:val="uk-UA"/>
        </w:rPr>
        <w:t>.2022</w:t>
      </w:r>
      <w:r>
        <w:rPr>
          <w:rFonts w:ascii="Times New Roman" w:cs="Times New Roman" w:hAnsi="Times New Roman"/>
          <w:sz w:val="24"/>
          <w:szCs w:val="24"/>
          <w:lang w:val="uk-UA"/>
        </w:rPr>
        <w:t>р.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Ціна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45 004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cs="Times New Roman" w:hAnsi="Times New Roman"/>
          <w:sz w:val="24"/>
          <w:szCs w:val="24"/>
          <w:lang w:val="uk-UA"/>
        </w:rPr>
        <w:t>39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коп.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cs="Times New Roman" w:hAnsi="Times New Roman"/>
          <w:sz w:val="24"/>
          <w:szCs w:val="24"/>
          <w:lang w:val="uk-UA"/>
        </w:rPr>
        <w:t>ПДВ.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року.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bookmarkEnd w:id="0"/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>8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ламіната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підложки</w:t>
      </w:r>
      <w:r>
        <w:rPr>
          <w:rFonts w:ascii="Times New Roman" w:cs="Times New Roman" w:hAnsi="Times New Roman"/>
          <w:sz w:val="24"/>
          <w:szCs w:val="24"/>
          <w:lang w:val="uk-UA"/>
        </w:rPr>
        <w:t>, плитки та цементу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4411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4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Конструкційні матеріали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216F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F55D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