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2C198D" w:rsidRDefault="001B393A" w:rsidP="002C198D">
      <w:pPr>
        <w:ind w:firstLine="426"/>
        <w:jc w:val="both"/>
        <w:rPr>
          <w:sz w:val="24"/>
          <w:szCs w:val="24"/>
          <w:lang w:val="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2C198D" w:rsidRPr="002C198D">
        <w:rPr>
          <w:sz w:val="24"/>
          <w:szCs w:val="24"/>
          <w:lang w:val="uk-UA"/>
        </w:rPr>
        <w:t>CPV 30190000-7 по ДК 021:2015 – Офісне устаткування та приладдя різне (Плівка самоклеюча)</w:t>
      </w:r>
      <w:r w:rsidR="002C198D" w:rsidRPr="002C198D">
        <w:rPr>
          <w:b/>
          <w:sz w:val="24"/>
          <w:szCs w:val="24"/>
          <w:u w:val="single"/>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5758D9">
        <w:rPr>
          <w:sz w:val="24"/>
          <w:szCs w:val="24"/>
          <w:lang w:val="uk-UA" w:eastAsia="uk-UA"/>
        </w:rPr>
        <w:t xml:space="preserve">2023 </w:t>
      </w:r>
      <w:r w:rsidR="00DE2405" w:rsidRPr="004970C2">
        <w:rPr>
          <w:sz w:val="24"/>
          <w:szCs w:val="24"/>
          <w:lang w:val="uk-UA" w:eastAsia="uk-UA"/>
        </w:rPr>
        <w:t>року</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2C198D">
        <w:rPr>
          <w:b/>
          <w:sz w:val="24"/>
          <w:szCs w:val="24"/>
          <w:lang w:val="uk-UA"/>
        </w:rPr>
        <w:t>31</w:t>
      </w:r>
      <w:r w:rsidR="00016E34">
        <w:rPr>
          <w:b/>
          <w:sz w:val="24"/>
          <w:szCs w:val="24"/>
          <w:lang w:val="uk-UA"/>
        </w:rPr>
        <w:t>.05</w:t>
      </w:r>
      <w:bookmarkStart w:id="0" w:name="_GoBack"/>
      <w:bookmarkEnd w:id="0"/>
      <w:r w:rsidR="00BA4D31">
        <w:rPr>
          <w:b/>
          <w:sz w:val="24"/>
          <w:szCs w:val="24"/>
          <w:lang w:val="uk-UA"/>
        </w:rPr>
        <w:t>.2024 року</w:t>
      </w:r>
      <w:r w:rsidR="00BA4D31" w:rsidRPr="00BA4D31">
        <w:rPr>
          <w:b/>
          <w:sz w:val="28"/>
          <w:szCs w:val="28"/>
          <w:lang w:val="uk-UA"/>
        </w:rPr>
        <w:t xml:space="preserve">, </w:t>
      </w:r>
      <w:r w:rsidR="00B96682" w:rsidRPr="004970C2">
        <w:rPr>
          <w:sz w:val="24"/>
          <w:szCs w:val="24"/>
          <w:lang w:val="uk-UA"/>
        </w:rPr>
        <w:t>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B6203" w:rsidRPr="004970C2" w:rsidRDefault="007B6203" w:rsidP="007B6203">
      <w:pPr>
        <w:jc w:val="both"/>
        <w:rPr>
          <w:sz w:val="24"/>
          <w:szCs w:val="24"/>
          <w:lang w:val="uk-UA"/>
        </w:rPr>
      </w:pPr>
      <w:r w:rsidRPr="004970C2">
        <w:rPr>
          <w:sz w:val="24"/>
          <w:szCs w:val="24"/>
        </w:rPr>
        <w:t xml:space="preserve">- </w:t>
      </w:r>
      <w:r w:rsidR="005839A7">
        <w:rPr>
          <w:sz w:val="24"/>
          <w:szCs w:val="24"/>
          <w:lang w:val="uk-UA"/>
        </w:rPr>
        <w:t xml:space="preserve">документ, </w:t>
      </w:r>
      <w:proofErr w:type="gramStart"/>
      <w:r w:rsidR="005839A7">
        <w:rPr>
          <w:sz w:val="24"/>
          <w:szCs w:val="24"/>
          <w:lang w:val="uk-UA"/>
        </w:rPr>
        <w:t xml:space="preserve">що </w:t>
      </w:r>
      <w:r w:rsidR="005839A7" w:rsidRPr="001A17FB">
        <w:rPr>
          <w:sz w:val="24"/>
          <w:szCs w:val="24"/>
          <w:lang w:val="uk-UA"/>
        </w:rPr>
        <w:t xml:space="preserve"> підтверджу</w:t>
      </w:r>
      <w:r w:rsidR="005839A7">
        <w:rPr>
          <w:sz w:val="24"/>
          <w:szCs w:val="24"/>
          <w:lang w:val="uk-UA"/>
        </w:rPr>
        <w:t>є</w:t>
      </w:r>
      <w:proofErr w:type="gramEnd"/>
      <w:r w:rsidR="005839A7" w:rsidRPr="001A17FB">
        <w:rPr>
          <w:sz w:val="24"/>
          <w:szCs w:val="24"/>
          <w:lang w:val="uk-UA"/>
        </w:rPr>
        <w:t xml:space="preserve"> </w:t>
      </w:r>
      <w:r w:rsidR="005839A7">
        <w:rPr>
          <w:sz w:val="24"/>
          <w:szCs w:val="24"/>
          <w:lang w:val="uk-UA"/>
        </w:rPr>
        <w:t>якість товару (паспорт або сертифікат, тощо</w:t>
      </w:r>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100AB0" w:rsidRPr="004970C2" w:rsidRDefault="000438DD" w:rsidP="005839A7">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1"/>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5839A7" w:rsidRPr="001A17FB">
        <w:rPr>
          <w:sz w:val="24"/>
          <w:szCs w:val="24"/>
          <w:lang w:val="uk-UA"/>
        </w:rPr>
        <w:t xml:space="preserve">20 робочих днів </w:t>
      </w:r>
      <w:r w:rsidR="00397106" w:rsidRPr="004970C2">
        <w:rPr>
          <w:sz w:val="24"/>
          <w:szCs w:val="24"/>
          <w:lang w:val="uk-UA"/>
        </w:rPr>
        <w:t xml:space="preserve">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BB72BD" w:rsidRPr="004970C2" w:rsidRDefault="00D17556" w:rsidP="00BB72BD">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w:t>
      </w:r>
      <w:r w:rsidR="005839A7">
        <w:rPr>
          <w:sz w:val="24"/>
          <w:szCs w:val="24"/>
        </w:rPr>
        <w:t>5</w:t>
      </w:r>
      <w:r w:rsidR="00FC1151" w:rsidRPr="004970C2">
        <w:rPr>
          <w:sz w:val="24"/>
          <w:szCs w:val="24"/>
        </w:rPr>
        <w:t xml:space="preserve"> </w:t>
      </w:r>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784FFD" w:rsidRPr="004970C2" w:rsidRDefault="00784FFD" w:rsidP="005839A7">
      <w:pPr>
        <w:widowControl/>
        <w:autoSpaceDE/>
        <w:autoSpaceDN/>
        <w:adjustRightInd/>
        <w:jc w:val="both"/>
        <w:rPr>
          <w:spacing w:val="-1"/>
          <w:sz w:val="24"/>
          <w:szCs w:val="24"/>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586CBC" w:rsidRPr="004970C2" w:rsidRDefault="00586CBC" w:rsidP="00586CBC">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86CBC" w:rsidRPr="004970C2" w:rsidRDefault="00586CBC" w:rsidP="00586CBC">
      <w:pPr>
        <w:ind w:firstLine="426"/>
        <w:jc w:val="both"/>
        <w:rPr>
          <w:sz w:val="24"/>
          <w:szCs w:val="24"/>
          <w:lang w:val="uk-UA"/>
        </w:rPr>
      </w:pPr>
      <w:r w:rsidRPr="004970C2">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586CBC" w:rsidRPr="004970C2" w:rsidRDefault="00586CBC" w:rsidP="00586CBC">
      <w:pPr>
        <w:ind w:firstLine="426"/>
        <w:jc w:val="both"/>
        <w:rPr>
          <w:sz w:val="24"/>
          <w:szCs w:val="24"/>
          <w:lang w:val="uk-UA"/>
        </w:rPr>
      </w:pPr>
      <w:r w:rsidRPr="004970C2">
        <w:rPr>
          <w:sz w:val="24"/>
          <w:szCs w:val="24"/>
          <w:lang w:val="uk-UA"/>
        </w:rPr>
        <w:lastRenderedPageBreak/>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r w:rsidR="00DB1DEC">
        <w:rPr>
          <w:rStyle w:val="ae"/>
          <w:color w:val="auto"/>
          <w:sz w:val="24"/>
          <w:szCs w:val="24"/>
          <w:u w:val="none"/>
          <w:lang w:val="en-US"/>
        </w:rPr>
        <w:fldChar w:fldCharType="begin"/>
      </w:r>
      <w:r w:rsidR="00DB1DEC" w:rsidRPr="00016E34">
        <w:rPr>
          <w:rStyle w:val="ae"/>
          <w:color w:val="auto"/>
          <w:sz w:val="24"/>
          <w:szCs w:val="24"/>
          <w:u w:val="none"/>
        </w:rPr>
        <w:instrText xml:space="preserve"> </w:instrText>
      </w:r>
      <w:r w:rsidR="00DB1DEC">
        <w:rPr>
          <w:rStyle w:val="ae"/>
          <w:color w:val="auto"/>
          <w:sz w:val="24"/>
          <w:szCs w:val="24"/>
          <w:u w:val="none"/>
          <w:lang w:val="en-US"/>
        </w:rPr>
        <w:instrText>HYPERLINK</w:instrText>
      </w:r>
      <w:r w:rsidR="00DB1DEC" w:rsidRPr="00016E34">
        <w:rPr>
          <w:rStyle w:val="ae"/>
          <w:color w:val="auto"/>
          <w:sz w:val="24"/>
          <w:szCs w:val="24"/>
          <w:u w:val="none"/>
        </w:rPr>
        <w:instrText xml:space="preserve"> "</w:instrText>
      </w:r>
      <w:r w:rsidR="00DB1DEC">
        <w:rPr>
          <w:rStyle w:val="ae"/>
          <w:color w:val="auto"/>
          <w:sz w:val="24"/>
          <w:szCs w:val="24"/>
          <w:u w:val="none"/>
          <w:lang w:val="en-US"/>
        </w:rPr>
        <w:instrText>http</w:instrText>
      </w:r>
      <w:r w:rsidR="00DB1DEC" w:rsidRPr="00016E34">
        <w:rPr>
          <w:rStyle w:val="ae"/>
          <w:color w:val="auto"/>
          <w:sz w:val="24"/>
          <w:szCs w:val="24"/>
          <w:u w:val="none"/>
        </w:rPr>
        <w:instrText>://</w:instrText>
      </w:r>
      <w:r w:rsidR="00DB1DEC">
        <w:rPr>
          <w:rStyle w:val="ae"/>
          <w:color w:val="auto"/>
          <w:sz w:val="24"/>
          <w:szCs w:val="24"/>
          <w:u w:val="none"/>
          <w:lang w:val="en-US"/>
        </w:rPr>
        <w:instrText>www</w:instrText>
      </w:r>
      <w:r w:rsidR="00DB1DEC" w:rsidRPr="00016E34">
        <w:rPr>
          <w:rStyle w:val="ae"/>
          <w:color w:val="auto"/>
          <w:sz w:val="24"/>
          <w:szCs w:val="24"/>
          <w:u w:val="none"/>
        </w:rPr>
        <w:instrText>.</w:instrText>
      </w:r>
      <w:r w:rsidR="00DB1DEC">
        <w:rPr>
          <w:rStyle w:val="ae"/>
          <w:color w:val="auto"/>
          <w:sz w:val="24"/>
          <w:szCs w:val="24"/>
          <w:u w:val="none"/>
          <w:lang w:val="en-US"/>
        </w:rPr>
        <w:instrText>energoatom</w:instrText>
      </w:r>
      <w:r w:rsidR="00DB1DEC" w:rsidRPr="00016E34">
        <w:rPr>
          <w:rStyle w:val="ae"/>
          <w:color w:val="auto"/>
          <w:sz w:val="24"/>
          <w:szCs w:val="24"/>
          <w:u w:val="none"/>
        </w:rPr>
        <w:instrText>.</w:instrText>
      </w:r>
      <w:r w:rsidR="00DB1DEC">
        <w:rPr>
          <w:rStyle w:val="ae"/>
          <w:color w:val="auto"/>
          <w:sz w:val="24"/>
          <w:szCs w:val="24"/>
          <w:u w:val="none"/>
          <w:lang w:val="en-US"/>
        </w:rPr>
        <w:instrText>com</w:instrText>
      </w:r>
      <w:r w:rsidR="00DB1DEC" w:rsidRPr="00016E34">
        <w:rPr>
          <w:rStyle w:val="ae"/>
          <w:color w:val="auto"/>
          <w:sz w:val="24"/>
          <w:szCs w:val="24"/>
          <w:u w:val="none"/>
        </w:rPr>
        <w:instrText>.</w:instrText>
      </w:r>
      <w:r w:rsidR="00DB1DEC">
        <w:rPr>
          <w:rStyle w:val="ae"/>
          <w:color w:val="auto"/>
          <w:sz w:val="24"/>
          <w:szCs w:val="24"/>
          <w:u w:val="none"/>
          <w:lang w:val="en-US"/>
        </w:rPr>
        <w:instrText>ua</w:instrText>
      </w:r>
      <w:r w:rsidR="00DB1DEC" w:rsidRPr="00016E34">
        <w:rPr>
          <w:rStyle w:val="ae"/>
          <w:color w:val="auto"/>
          <w:sz w:val="24"/>
          <w:szCs w:val="24"/>
          <w:u w:val="none"/>
        </w:rPr>
        <w:instrText>/</w:instrText>
      </w:r>
      <w:r w:rsidR="00DB1DEC">
        <w:rPr>
          <w:rStyle w:val="ae"/>
          <w:color w:val="auto"/>
          <w:sz w:val="24"/>
          <w:szCs w:val="24"/>
          <w:u w:val="none"/>
          <w:lang w:val="en-US"/>
        </w:rPr>
        <w:instrText>ua</w:instrText>
      </w:r>
      <w:r w:rsidR="00DB1DEC" w:rsidRPr="00016E34">
        <w:rPr>
          <w:rStyle w:val="ae"/>
          <w:color w:val="auto"/>
          <w:sz w:val="24"/>
          <w:szCs w:val="24"/>
          <w:u w:val="none"/>
        </w:rPr>
        <w:instrText>/</w:instrText>
      </w:r>
      <w:r w:rsidR="00DB1DEC">
        <w:rPr>
          <w:rStyle w:val="ae"/>
          <w:color w:val="auto"/>
          <w:sz w:val="24"/>
          <w:szCs w:val="24"/>
          <w:u w:val="none"/>
          <w:lang w:val="en-US"/>
        </w:rPr>
        <w:instrText>about</w:instrText>
      </w:r>
      <w:r w:rsidR="00DB1DEC" w:rsidRPr="00016E34">
        <w:rPr>
          <w:rStyle w:val="ae"/>
          <w:color w:val="auto"/>
          <w:sz w:val="24"/>
          <w:szCs w:val="24"/>
          <w:u w:val="none"/>
        </w:rPr>
        <w:instrText>-6/</w:instrText>
      </w:r>
      <w:r w:rsidR="00DB1DEC">
        <w:rPr>
          <w:rStyle w:val="ae"/>
          <w:color w:val="auto"/>
          <w:sz w:val="24"/>
          <w:szCs w:val="24"/>
          <w:u w:val="none"/>
          <w:lang w:val="en-US"/>
        </w:rPr>
        <w:instrText>company</w:instrText>
      </w:r>
      <w:r w:rsidR="00DB1DEC" w:rsidRPr="00016E34">
        <w:rPr>
          <w:rStyle w:val="ae"/>
          <w:color w:val="auto"/>
          <w:sz w:val="24"/>
          <w:szCs w:val="24"/>
          <w:u w:val="none"/>
        </w:rPr>
        <w:instrText>_</w:instrText>
      </w:r>
      <w:r w:rsidR="00DB1DEC">
        <w:rPr>
          <w:rStyle w:val="ae"/>
          <w:color w:val="auto"/>
          <w:sz w:val="24"/>
          <w:szCs w:val="24"/>
          <w:u w:val="none"/>
          <w:lang w:val="en-US"/>
        </w:rPr>
        <w:instrText>standards</w:instrText>
      </w:r>
      <w:r w:rsidR="00DB1DEC" w:rsidRPr="00016E34">
        <w:rPr>
          <w:rStyle w:val="ae"/>
          <w:color w:val="auto"/>
          <w:sz w:val="24"/>
          <w:szCs w:val="24"/>
          <w:u w:val="none"/>
        </w:rPr>
        <w:instrText xml:space="preserve">-82" </w:instrText>
      </w:r>
      <w:r w:rsidR="00DB1DEC">
        <w:rPr>
          <w:rStyle w:val="ae"/>
          <w:color w:val="auto"/>
          <w:sz w:val="24"/>
          <w:szCs w:val="24"/>
          <w:u w:val="none"/>
          <w:lang w:val="en-US"/>
        </w:rPr>
        <w:fldChar w:fldCharType="separate"/>
      </w:r>
      <w:r w:rsidRPr="004970C2">
        <w:rPr>
          <w:rStyle w:val="ae"/>
          <w:color w:val="auto"/>
          <w:sz w:val="24"/>
          <w:szCs w:val="24"/>
          <w:u w:val="none"/>
          <w:lang w:val="en-US"/>
        </w:rPr>
        <w:t>http</w:t>
      </w:r>
      <w:r w:rsidRPr="004970C2">
        <w:rPr>
          <w:rStyle w:val="ae"/>
          <w:color w:val="auto"/>
          <w:sz w:val="24"/>
          <w:szCs w:val="24"/>
          <w:u w:val="none"/>
        </w:rPr>
        <w:t>://</w:t>
      </w:r>
      <w:r w:rsidRPr="004970C2">
        <w:rPr>
          <w:rStyle w:val="ae"/>
          <w:color w:val="auto"/>
          <w:sz w:val="24"/>
          <w:szCs w:val="24"/>
          <w:u w:val="none"/>
          <w:lang w:val="en-US"/>
        </w:rPr>
        <w:t>www</w:t>
      </w:r>
      <w:r w:rsidRPr="004970C2">
        <w:rPr>
          <w:rStyle w:val="ae"/>
          <w:color w:val="auto"/>
          <w:sz w:val="24"/>
          <w:szCs w:val="24"/>
          <w:u w:val="none"/>
        </w:rPr>
        <w:t>.</w:t>
      </w:r>
      <w:proofErr w:type="spellStart"/>
      <w:r w:rsidRPr="004970C2">
        <w:rPr>
          <w:rStyle w:val="ae"/>
          <w:color w:val="auto"/>
          <w:sz w:val="24"/>
          <w:szCs w:val="24"/>
          <w:u w:val="none"/>
          <w:lang w:val="en-US"/>
        </w:rPr>
        <w:t>energoatom</w:t>
      </w:r>
      <w:proofErr w:type="spellEnd"/>
      <w:r w:rsidRPr="004970C2">
        <w:rPr>
          <w:rStyle w:val="ae"/>
          <w:color w:val="auto"/>
          <w:sz w:val="24"/>
          <w:szCs w:val="24"/>
          <w:u w:val="none"/>
        </w:rPr>
        <w:t>.</w:t>
      </w:r>
      <w:r w:rsidRPr="004970C2">
        <w:rPr>
          <w:rStyle w:val="ae"/>
          <w:color w:val="auto"/>
          <w:sz w:val="24"/>
          <w:szCs w:val="24"/>
          <w:u w:val="none"/>
          <w:lang w:val="en-US"/>
        </w:rPr>
        <w:t>com</w:t>
      </w:r>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r w:rsidRPr="004970C2">
        <w:rPr>
          <w:rStyle w:val="ae"/>
          <w:color w:val="auto"/>
          <w:sz w:val="24"/>
          <w:szCs w:val="24"/>
          <w:u w:val="none"/>
          <w:lang w:val="en-US"/>
        </w:rPr>
        <w:t>about</w:t>
      </w:r>
      <w:r w:rsidRPr="004970C2">
        <w:rPr>
          <w:rStyle w:val="ae"/>
          <w:color w:val="auto"/>
          <w:sz w:val="24"/>
          <w:szCs w:val="24"/>
          <w:u w:val="none"/>
        </w:rPr>
        <w:t>-6/</w:t>
      </w:r>
      <w:r w:rsidRPr="004970C2">
        <w:rPr>
          <w:rStyle w:val="ae"/>
          <w:color w:val="auto"/>
          <w:sz w:val="24"/>
          <w:szCs w:val="24"/>
          <w:u w:val="none"/>
          <w:lang w:val="en-US"/>
        </w:rPr>
        <w:t>company</w:t>
      </w:r>
      <w:r w:rsidRPr="004970C2">
        <w:rPr>
          <w:rStyle w:val="ae"/>
          <w:color w:val="auto"/>
          <w:sz w:val="24"/>
          <w:szCs w:val="24"/>
          <w:u w:val="none"/>
        </w:rPr>
        <w:t>_</w:t>
      </w:r>
      <w:r w:rsidRPr="004970C2">
        <w:rPr>
          <w:rStyle w:val="ae"/>
          <w:color w:val="auto"/>
          <w:sz w:val="24"/>
          <w:szCs w:val="24"/>
          <w:u w:val="none"/>
          <w:lang w:val="en-US"/>
        </w:rPr>
        <w:t>standards</w:t>
      </w:r>
      <w:r w:rsidRPr="004970C2">
        <w:rPr>
          <w:rStyle w:val="ae"/>
          <w:color w:val="auto"/>
          <w:sz w:val="24"/>
          <w:szCs w:val="24"/>
          <w:u w:val="none"/>
        </w:rPr>
        <w:t>-82</w:t>
      </w:r>
      <w:r w:rsidR="00DB1DEC">
        <w:rPr>
          <w:rStyle w:val="ae"/>
          <w:color w:val="auto"/>
          <w:sz w:val="24"/>
          <w:szCs w:val="24"/>
          <w:u w:val="none"/>
        </w:rPr>
        <w:fldChar w:fldCharType="end"/>
      </w:r>
      <w:r w:rsidRPr="004970C2">
        <w:rPr>
          <w:rStyle w:val="ae"/>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f"/>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f"/>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w:t>
      </w:r>
      <w:r w:rsidRPr="004970C2">
        <w:rPr>
          <w:sz w:val="24"/>
          <w:szCs w:val="24"/>
        </w:rPr>
        <w:lastRenderedPageBreak/>
        <w:t>(нерезидента).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1"/>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lastRenderedPageBreak/>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f"/>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Default="009D1116" w:rsidP="00E0600C">
      <w:pPr>
        <w:ind w:firstLine="360"/>
        <w:jc w:val="both"/>
        <w:rPr>
          <w:sz w:val="24"/>
          <w:szCs w:val="24"/>
          <w:lang w:val="uk-UA" w:eastAsia="uk-UA"/>
        </w:rPr>
      </w:pPr>
    </w:p>
    <w:p w:rsidR="009D1116" w:rsidRPr="005B7B83" w:rsidRDefault="009D1116"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7"/>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7"/>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7"/>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Код ЄДРПОУ</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7"/>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7"/>
              <w:rPr>
                <w:b/>
                <w:sz w:val="24"/>
                <w:szCs w:val="24"/>
                <w:lang w:val="uk-UA" w:eastAsia="uk-UA"/>
              </w:rPr>
            </w:pPr>
            <w:r w:rsidRPr="004970C2">
              <w:rPr>
                <w:b/>
                <w:sz w:val="24"/>
                <w:szCs w:val="24"/>
                <w:lang w:val="uk-UA" w:eastAsia="uk-UA"/>
              </w:rPr>
              <w:t>Посада</w:t>
            </w:r>
          </w:p>
          <w:p w:rsidR="004970C2" w:rsidRPr="004970C2" w:rsidRDefault="004970C2" w:rsidP="004970C2">
            <w:pPr>
              <w:pStyle w:val="a7"/>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7"/>
              <w:rPr>
                <w:b/>
                <w:sz w:val="24"/>
                <w:szCs w:val="24"/>
                <w:lang w:val="uk-UA" w:eastAsia="uk-UA"/>
              </w:rPr>
            </w:pPr>
          </w:p>
          <w:p w:rsidR="004970C2" w:rsidRPr="00820355" w:rsidRDefault="004970C2" w:rsidP="004970C2">
            <w:pPr>
              <w:pStyle w:val="a7"/>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EC" w:rsidRDefault="00DB1DEC">
      <w:r>
        <w:separator/>
      </w:r>
    </w:p>
  </w:endnote>
  <w:endnote w:type="continuationSeparator" w:id="0">
    <w:p w:rsidR="00DB1DEC" w:rsidRDefault="00DB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16E3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EC" w:rsidRDefault="00DB1DEC">
      <w:pPr>
        <w:pStyle w:val="a7"/>
        <w:tabs>
          <w:tab w:val="clear" w:pos="4677"/>
          <w:tab w:val="clear" w:pos="9355"/>
        </w:tabs>
      </w:pPr>
      <w:r>
        <w:separator/>
      </w:r>
    </w:p>
  </w:footnote>
  <w:footnote w:type="continuationSeparator" w:id="0">
    <w:p w:rsidR="00DB1DEC" w:rsidRDefault="00DB1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6E34"/>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198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6774"/>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0E40"/>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58D9"/>
    <w:rsid w:val="005767D4"/>
    <w:rsid w:val="005770CB"/>
    <w:rsid w:val="00577B8E"/>
    <w:rsid w:val="005806FC"/>
    <w:rsid w:val="00581760"/>
    <w:rsid w:val="00581D91"/>
    <w:rsid w:val="00582070"/>
    <w:rsid w:val="0058209A"/>
    <w:rsid w:val="00583323"/>
    <w:rsid w:val="005839A7"/>
    <w:rsid w:val="00583E91"/>
    <w:rsid w:val="00584156"/>
    <w:rsid w:val="00584C20"/>
    <w:rsid w:val="00585DE9"/>
    <w:rsid w:val="00586711"/>
    <w:rsid w:val="00586817"/>
    <w:rsid w:val="00586CBC"/>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240D"/>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AC5"/>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116"/>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AF5BB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4D31"/>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0E02"/>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1DEC"/>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73F"/>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6053-281F-4BAE-9583-38243970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22789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38</cp:revision>
  <cp:lastPrinted>2021-11-12T11:13:00Z</cp:lastPrinted>
  <dcterms:created xsi:type="dcterms:W3CDTF">2023-01-26T13:17:00Z</dcterms:created>
  <dcterms:modified xsi:type="dcterms:W3CDTF">2024-02-12T08:31:00Z</dcterms:modified>
</cp:coreProperties>
</file>