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86" w:rsidRPr="00687FAF" w:rsidRDefault="007B5386" w:rsidP="00A31A9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="Times New Roman"/>
          <w:b/>
          <w:bCs/>
          <w:color w:val="000000"/>
          <w:kern w:val="36"/>
          <w:szCs w:val="24"/>
          <w:lang w:val="uk-UA"/>
        </w:rPr>
      </w:pPr>
      <w:r w:rsidRPr="00687FAF">
        <w:rPr>
          <w:rFonts w:eastAsia="Times New Roman"/>
          <w:b/>
          <w:bCs/>
          <w:color w:val="000000"/>
          <w:kern w:val="36"/>
          <w:szCs w:val="24"/>
          <w:lang w:val="uk-UA"/>
        </w:rPr>
        <w:t>ДОДАТОК № 2</w:t>
      </w:r>
    </w:p>
    <w:p w:rsidR="007B5386" w:rsidRDefault="007B5386" w:rsidP="00A31A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b/>
          <w:bCs/>
          <w:color w:val="000000"/>
          <w:kern w:val="36"/>
          <w:szCs w:val="24"/>
          <w:lang w:val="uk-UA"/>
        </w:rPr>
      </w:pPr>
      <w:r w:rsidRPr="00687FAF">
        <w:rPr>
          <w:rFonts w:eastAsia="Times New Roman"/>
          <w:b/>
          <w:bCs/>
          <w:color w:val="000000"/>
          <w:kern w:val="36"/>
          <w:szCs w:val="24"/>
          <w:lang w:val="uk-UA"/>
        </w:rPr>
        <w:t>ТЕХНІЧНА СПЕЦИФІКАЦІЯ</w:t>
      </w:r>
    </w:p>
    <w:p w:rsidR="00E4640F" w:rsidRPr="00687FAF" w:rsidRDefault="00E723AB" w:rsidP="00A31A9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Times New Roman"/>
          <w:b/>
          <w:bCs/>
          <w:color w:val="000000"/>
          <w:kern w:val="36"/>
          <w:szCs w:val="24"/>
          <w:lang w:val="uk-UA"/>
        </w:rPr>
      </w:pPr>
      <w:r>
        <w:rPr>
          <w:rFonts w:eastAsia="Times New Roman"/>
          <w:b/>
          <w:bCs/>
          <w:color w:val="000000"/>
          <w:kern w:val="36"/>
          <w:szCs w:val="24"/>
          <w:lang w:val="uk-UA"/>
        </w:rPr>
        <w:t>н</w:t>
      </w:r>
      <w:r w:rsidR="00E4640F">
        <w:rPr>
          <w:rFonts w:eastAsia="Times New Roman"/>
          <w:b/>
          <w:bCs/>
          <w:color w:val="000000"/>
          <w:kern w:val="36"/>
          <w:szCs w:val="24"/>
          <w:lang w:val="uk-UA"/>
        </w:rPr>
        <w:t>а</w:t>
      </w:r>
      <w:r>
        <w:rPr>
          <w:rFonts w:eastAsia="Times New Roman"/>
          <w:b/>
          <w:bCs/>
          <w:color w:val="000000"/>
          <w:kern w:val="36"/>
          <w:szCs w:val="24"/>
          <w:lang w:val="uk-UA"/>
        </w:rPr>
        <w:t xml:space="preserve"> послуги з </w:t>
      </w:r>
    </w:p>
    <w:p w:rsidR="00687FAF" w:rsidRPr="00E4640F" w:rsidRDefault="00E723AB" w:rsidP="00687FA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lang w:val="uk-UA"/>
        </w:rPr>
        <w:t>поточного</w:t>
      </w:r>
      <w:r w:rsidR="00E4640F" w:rsidRPr="00E4640F">
        <w:rPr>
          <w:rFonts w:ascii="Times New Roman" w:hAnsi="Times New Roman"/>
          <w:b/>
          <w:lang w:val="uk-UA"/>
        </w:rPr>
        <w:t xml:space="preserve"> ремонт</w:t>
      </w:r>
      <w:r>
        <w:rPr>
          <w:rFonts w:ascii="Times New Roman" w:hAnsi="Times New Roman"/>
          <w:b/>
          <w:lang w:val="uk-UA"/>
        </w:rPr>
        <w:t>у</w:t>
      </w:r>
      <w:r w:rsidR="00E4640F" w:rsidRPr="00E4640F">
        <w:rPr>
          <w:rFonts w:ascii="Times New Roman" w:hAnsi="Times New Roman"/>
          <w:b/>
          <w:lang w:val="uk-UA"/>
        </w:rPr>
        <w:t xml:space="preserve"> УЗД-апарату </w:t>
      </w:r>
      <w:r w:rsidR="00E4640F" w:rsidRPr="00E4640F">
        <w:rPr>
          <w:rFonts w:ascii="Times New Roman" w:hAnsi="Times New Roman"/>
          <w:b/>
        </w:rPr>
        <w:t>QBIT</w:t>
      </w:r>
      <w:r w:rsidR="00E4640F" w:rsidRPr="00E4640F">
        <w:rPr>
          <w:rFonts w:ascii="Times New Roman" w:hAnsi="Times New Roman"/>
          <w:b/>
          <w:lang w:val="uk-UA"/>
        </w:rPr>
        <w:t xml:space="preserve"> 7</w:t>
      </w:r>
      <w:r w:rsidR="00E4640F">
        <w:rPr>
          <w:rFonts w:ascii="Times New Roman" w:hAnsi="Times New Roman"/>
          <w:b/>
          <w:lang w:val="uk-UA"/>
        </w:rPr>
        <w:t xml:space="preserve"> </w:t>
      </w:r>
      <w:proofErr w:type="spellStart"/>
      <w:r w:rsidR="00687FAF" w:rsidRPr="00687FA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ДК</w:t>
      </w:r>
      <w:proofErr w:type="spellEnd"/>
      <w:r w:rsidR="00687FAF" w:rsidRPr="00687FAF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021:2015: 50420000-5 П</w:t>
      </w:r>
      <w:r w:rsidR="00687FAF" w:rsidRPr="00687FAF">
        <w:rPr>
          <w:rFonts w:ascii="Times New Roman" w:hAnsi="Times New Roman"/>
          <w:color w:val="000000"/>
          <w:sz w:val="24"/>
          <w:szCs w:val="24"/>
          <w:lang w:val="uk-UA"/>
        </w:rPr>
        <w:t xml:space="preserve">ослуги з ремонту і технічного обслуговування медичного та хірургічного обладнання </w:t>
      </w:r>
      <w:r w:rsidR="00687FAF" w:rsidRPr="00687FAF">
        <w:rPr>
          <w:rFonts w:ascii="Times New Roman" w:hAnsi="Times New Roman"/>
          <w:lang w:val="uk-UA"/>
        </w:rPr>
        <w:t>(</w:t>
      </w:r>
      <w:r w:rsidR="00687FAF" w:rsidRPr="00687FAF">
        <w:rPr>
          <w:rFonts w:ascii="Times New Roman" w:hAnsi="Times New Roman"/>
          <w:lang w:val="en-US"/>
        </w:rPr>
        <w:t>CPV</w:t>
      </w:r>
      <w:r w:rsidR="00E4640F">
        <w:rPr>
          <w:rFonts w:ascii="Times New Roman" w:hAnsi="Times New Roman"/>
          <w:lang w:val="uk-UA"/>
        </w:rPr>
        <w:t>)</w:t>
      </w:r>
    </w:p>
    <w:p w:rsidR="00687FAF" w:rsidRPr="00687FAF" w:rsidRDefault="00687FAF" w:rsidP="00687FAF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820"/>
        <w:gridCol w:w="1842"/>
        <w:gridCol w:w="1134"/>
        <w:gridCol w:w="1701"/>
      </w:tblGrid>
      <w:tr w:rsidR="00687FAF" w:rsidRPr="00687FAF" w:rsidTr="00F422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NSimSun" w:hAnsi="Times New Roman"/>
                <w:b/>
                <w:bCs/>
                <w:color w:val="000000"/>
                <w:kern w:val="2"/>
                <w:lang w:val="uk-UA" w:bidi="hi-IN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687FAF" w:rsidP="00E82BD8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Times New Roman" w:hAnsi="Times New Roman"/>
                <w:b/>
                <w:bCs/>
                <w:color w:val="000000"/>
                <w:lang w:val="uk-UA" w:eastAsia="ru-RU"/>
              </w:rPr>
              <w:t xml:space="preserve">Найменування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NSimSun" w:hAnsi="Times New Roman"/>
                <w:b/>
                <w:bCs/>
                <w:color w:val="000000"/>
                <w:kern w:val="2"/>
                <w:lang w:val="uk-UA" w:bidi="hi-I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NSimSun" w:hAnsi="Times New Roman"/>
                <w:b/>
                <w:bCs/>
                <w:color w:val="000000"/>
                <w:kern w:val="2"/>
                <w:lang w:val="uk-UA" w:bidi="hi-IN"/>
              </w:rPr>
              <w:t>Кількість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NSimSun" w:hAnsi="Times New Roman"/>
                <w:b/>
                <w:bCs/>
                <w:color w:val="000000"/>
                <w:kern w:val="2"/>
                <w:lang w:val="uk-UA" w:bidi="hi-IN"/>
              </w:rPr>
              <w:t>Відповідність</w:t>
            </w:r>
          </w:p>
          <w:p w:rsidR="00687FAF" w:rsidRPr="00687FAF" w:rsidRDefault="00687FAF" w:rsidP="0037687B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NSimSun" w:hAnsi="Times New Roman"/>
                <w:b/>
                <w:bCs/>
                <w:color w:val="000000"/>
                <w:kern w:val="2"/>
                <w:lang w:val="uk-UA" w:bidi="hi-IN"/>
              </w:rPr>
              <w:t>Так/Ні</w:t>
            </w:r>
          </w:p>
        </w:tc>
      </w:tr>
      <w:tr w:rsidR="00687FAF" w:rsidRPr="00687FAF" w:rsidTr="00F422B3"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NSimSun" w:hAnsi="Times New Roman"/>
                <w:color w:val="000000"/>
                <w:kern w:val="2"/>
                <w:lang w:val="uk-UA" w:bidi="hi-IN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E73665" w:rsidP="00E7366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Заміна </w:t>
            </w:r>
            <w:proofErr w:type="spellStart"/>
            <w:r w:rsidR="0062368B" w:rsidRPr="0062368B">
              <w:rPr>
                <w:rFonts w:ascii="Times New Roman" w:hAnsi="Times New Roman"/>
                <w:lang w:val="uk-UA"/>
              </w:rPr>
              <w:t>ultrasound</w:t>
            </w:r>
            <w:r w:rsidRPr="00E73665">
              <w:rPr>
                <w:rFonts w:ascii="Times New Roman" w:hAnsi="Times New Roman"/>
                <w:lang w:val="uk-UA"/>
              </w:rPr>
              <w:t>mainboard</w:t>
            </w:r>
            <w:proofErr w:type="spellEnd"/>
            <w:r w:rsidRPr="00E73665">
              <w:rPr>
                <w:rFonts w:ascii="Times New Roman" w:hAnsi="Times New Roman"/>
                <w:lang w:val="uk-UA"/>
              </w:rPr>
              <w:t xml:space="preserve"> (</w:t>
            </w:r>
            <w:r>
              <w:rPr>
                <w:rFonts w:ascii="Times New Roman" w:hAnsi="Times New Roman"/>
                <w:lang w:val="uk-UA"/>
              </w:rPr>
              <w:t>м</w:t>
            </w:r>
            <w:r w:rsidRPr="00E73665">
              <w:rPr>
                <w:rFonts w:ascii="Times New Roman" w:hAnsi="Times New Roman"/>
                <w:lang w:val="uk-UA"/>
              </w:rPr>
              <w:t>атеринськ</w:t>
            </w:r>
            <w:r>
              <w:rPr>
                <w:rFonts w:ascii="Times New Roman" w:hAnsi="Times New Roman"/>
                <w:lang w:val="uk-UA"/>
              </w:rPr>
              <w:t>ої</w:t>
            </w:r>
            <w:r w:rsidRPr="00E73665">
              <w:rPr>
                <w:rFonts w:ascii="Times New Roman" w:hAnsi="Times New Roman"/>
                <w:lang w:val="uk-UA"/>
              </w:rPr>
              <w:t xml:space="preserve"> плат</w:t>
            </w:r>
            <w:r>
              <w:rPr>
                <w:rFonts w:ascii="Times New Roman" w:hAnsi="Times New Roman"/>
                <w:lang w:val="uk-UA"/>
              </w:rPr>
              <w:t>и</w:t>
            </w:r>
            <w:r w:rsidRPr="00E73665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87FAF">
              <w:rPr>
                <w:rFonts w:ascii="Times New Roman" w:hAnsi="Times New Roman"/>
                <w:lang w:val="uk-UA"/>
              </w:rPr>
              <w:t>послуга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pacing w:after="0" w:line="240" w:lineRule="auto"/>
              <w:jc w:val="center"/>
              <w:rPr>
                <w:lang w:val="uk-UA"/>
              </w:rPr>
            </w:pPr>
            <w:r w:rsidRPr="00687FAF">
              <w:rPr>
                <w:rFonts w:ascii="Times New Roman" w:eastAsia="NSimSun" w:hAnsi="Times New Roman"/>
                <w:kern w:val="2"/>
                <w:lang w:val="uk-UA" w:bidi="hi-I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87FAF" w:rsidRPr="00687FAF" w:rsidRDefault="00687FAF" w:rsidP="0037687B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lang w:val="uk-UA" w:bidi="hi-IN"/>
              </w:rPr>
            </w:pPr>
          </w:p>
        </w:tc>
      </w:tr>
    </w:tbl>
    <w:p w:rsidR="00687FAF" w:rsidRPr="00687FAF" w:rsidRDefault="00687FAF" w:rsidP="00687FAF">
      <w:pPr>
        <w:spacing w:after="0" w:line="240" w:lineRule="auto"/>
        <w:ind w:firstLine="599"/>
        <w:jc w:val="center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687FAF" w:rsidRPr="00687FAF" w:rsidRDefault="00687FAF" w:rsidP="00687FAF">
      <w:pPr>
        <w:spacing w:after="0" w:line="240" w:lineRule="auto"/>
        <w:ind w:firstLine="599"/>
        <w:jc w:val="center"/>
        <w:rPr>
          <w:lang w:val="uk-UA"/>
        </w:rPr>
      </w:pPr>
      <w:r w:rsidRPr="00687FAF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Вимоги для надання послуг </w:t>
      </w:r>
      <w:r w:rsidRPr="00687FAF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uk-UA" w:eastAsia="uk-UA" w:bidi="uk-UA"/>
        </w:rPr>
        <w:t>з ремонту та технічного обслуговування</w:t>
      </w:r>
      <w:r w:rsidRPr="00687FAF">
        <w:rPr>
          <w:rFonts w:ascii="Times New Roman" w:hAnsi="Times New Roman"/>
          <w:b/>
          <w:bCs/>
          <w:sz w:val="24"/>
          <w:szCs w:val="24"/>
          <w:lang w:val="uk-UA" w:eastAsia="uk-UA"/>
        </w:rPr>
        <w:t>:</w:t>
      </w:r>
    </w:p>
    <w:p w:rsidR="00687FAF" w:rsidRPr="00687FAF" w:rsidRDefault="00687FAF" w:rsidP="00B70660">
      <w:pPr>
        <w:spacing w:after="0" w:line="240" w:lineRule="auto"/>
        <w:ind w:firstLine="709"/>
        <w:jc w:val="both"/>
        <w:rPr>
          <w:lang w:val="uk-UA"/>
        </w:rPr>
      </w:pPr>
      <w:r w:rsidRPr="00687FAF">
        <w:rPr>
          <w:rFonts w:ascii="Times New Roman" w:hAnsi="Times New Roman"/>
          <w:b/>
          <w:bCs/>
          <w:sz w:val="24"/>
          <w:szCs w:val="24"/>
          <w:lang w:val="uk-UA" w:eastAsia="uk-UA"/>
        </w:rPr>
        <w:t>1.</w:t>
      </w:r>
      <w:r w:rsidR="00450137">
        <w:rPr>
          <w:rFonts w:ascii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="00E73665">
        <w:rPr>
          <w:rFonts w:ascii="Times New Roman" w:hAnsi="Times New Roman"/>
          <w:sz w:val="24"/>
          <w:szCs w:val="24"/>
          <w:lang w:val="uk-UA" w:eastAsia="uk-UA"/>
        </w:rPr>
        <w:t>Гарантійний  стр</w:t>
      </w:r>
      <w:r w:rsidR="00141CC1">
        <w:rPr>
          <w:rFonts w:ascii="Times New Roman" w:hAnsi="Times New Roman"/>
          <w:sz w:val="24"/>
          <w:szCs w:val="24"/>
          <w:lang w:val="uk-UA" w:eastAsia="uk-UA"/>
        </w:rPr>
        <w:t xml:space="preserve">ок на надані послуги становить </w:t>
      </w:r>
      <w:r w:rsidR="00141CC1" w:rsidRPr="00141CC1">
        <w:rPr>
          <w:rFonts w:ascii="Times New Roman" w:hAnsi="Times New Roman"/>
          <w:b/>
          <w:sz w:val="24"/>
          <w:szCs w:val="24"/>
          <w:lang w:val="uk-UA" w:eastAsia="uk-UA"/>
        </w:rPr>
        <w:t>6 (шість</w:t>
      </w:r>
      <w:r w:rsidR="00E73665" w:rsidRPr="00141CC1">
        <w:rPr>
          <w:rFonts w:ascii="Times New Roman" w:hAnsi="Times New Roman"/>
          <w:b/>
          <w:sz w:val="24"/>
          <w:szCs w:val="24"/>
          <w:lang w:val="uk-UA" w:eastAsia="uk-UA"/>
        </w:rPr>
        <w:t>)</w:t>
      </w:r>
      <w:r w:rsidR="00E73665">
        <w:rPr>
          <w:rFonts w:ascii="Times New Roman" w:hAnsi="Times New Roman"/>
          <w:sz w:val="24"/>
          <w:szCs w:val="24"/>
          <w:lang w:val="uk-UA" w:eastAsia="uk-UA"/>
        </w:rPr>
        <w:t xml:space="preserve"> календарних місяці</w:t>
      </w:r>
      <w:r w:rsidR="00C85EA1">
        <w:rPr>
          <w:rFonts w:ascii="Times New Roman" w:hAnsi="Times New Roman"/>
          <w:sz w:val="24"/>
          <w:szCs w:val="24"/>
          <w:lang w:val="uk-UA" w:eastAsia="uk-UA"/>
        </w:rPr>
        <w:t>в</w:t>
      </w:r>
      <w:r w:rsidR="00E73665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687FAF">
        <w:rPr>
          <w:rFonts w:ascii="Times New Roman" w:hAnsi="Times New Roman"/>
          <w:sz w:val="24"/>
          <w:szCs w:val="24"/>
          <w:lang w:val="uk-UA" w:eastAsia="uk-UA"/>
        </w:rPr>
        <w:t xml:space="preserve">Перебіг гарантійного строку починається з дати підписання Замовником Акту виконання (надання) послуг (робіт) і продовжується на час, упродовж якого об’єкт не міг використовуватися внаслідок недоліків, відповідальність за які несе Учасник, за умови дотримання Замовником належних умов експлуатації. </w:t>
      </w:r>
    </w:p>
    <w:p w:rsidR="00687FAF" w:rsidRPr="00687FAF" w:rsidRDefault="00687FAF" w:rsidP="00B70660">
      <w:pPr>
        <w:spacing w:after="0" w:line="240" w:lineRule="auto"/>
        <w:ind w:firstLine="709"/>
        <w:jc w:val="both"/>
        <w:rPr>
          <w:lang w:val="uk-UA"/>
        </w:rPr>
      </w:pPr>
      <w:r w:rsidRPr="00687FAF">
        <w:rPr>
          <w:rFonts w:ascii="Times New Roman" w:hAnsi="Times New Roman"/>
          <w:b/>
          <w:sz w:val="24"/>
          <w:szCs w:val="24"/>
          <w:lang w:val="uk-UA" w:eastAsia="uk-UA"/>
        </w:rPr>
        <w:t xml:space="preserve">2. </w:t>
      </w:r>
      <w:r w:rsidRPr="00687FAF">
        <w:rPr>
          <w:rFonts w:ascii="Times New Roman" w:hAnsi="Times New Roman"/>
          <w:sz w:val="24"/>
          <w:szCs w:val="24"/>
          <w:lang w:val="uk-UA" w:eastAsia="uk-UA"/>
        </w:rPr>
        <w:t>Учасник повинен надати у складі пропозиції відповідний лист-згоду щодо виконання даного технічного завдання.</w:t>
      </w:r>
    </w:p>
    <w:p w:rsidR="00687FAF" w:rsidRPr="00687FAF" w:rsidRDefault="00687FAF" w:rsidP="00B70660">
      <w:pPr>
        <w:pStyle w:val="a8"/>
        <w:spacing w:before="0" w:after="0" w:line="240" w:lineRule="auto"/>
        <w:ind w:firstLine="709"/>
        <w:jc w:val="both"/>
      </w:pPr>
      <w:r w:rsidRPr="00687FAF">
        <w:rPr>
          <w:b/>
          <w:color w:val="000000"/>
          <w:sz w:val="24"/>
          <w:szCs w:val="24"/>
          <w:lang w:eastAsia="uk-UA"/>
        </w:rPr>
        <w:t>3.</w:t>
      </w:r>
      <w:r w:rsidRPr="00687FAF">
        <w:rPr>
          <w:color w:val="000000"/>
          <w:sz w:val="24"/>
          <w:szCs w:val="24"/>
          <w:lang w:eastAsia="uk-UA"/>
        </w:rPr>
        <w:t xml:space="preserve"> Надання послуг здійснюється </w:t>
      </w:r>
      <w:r w:rsidR="00E73665">
        <w:rPr>
          <w:color w:val="000000"/>
          <w:sz w:val="24"/>
          <w:szCs w:val="24"/>
          <w:lang w:eastAsia="uk-UA"/>
        </w:rPr>
        <w:t xml:space="preserve">за адресою: </w:t>
      </w:r>
      <w:r w:rsidR="00E73665" w:rsidRPr="00E73665">
        <w:rPr>
          <w:color w:val="000000"/>
          <w:sz w:val="24"/>
          <w:szCs w:val="24"/>
          <w:lang w:eastAsia="uk-UA"/>
        </w:rPr>
        <w:t>Україна, 09401, Київська обл., Білоцерківський р-н, селище міського типу Ставище, вул.Цимбала Сергія, будинок 15/4</w:t>
      </w:r>
      <w:r w:rsidR="00B4345D" w:rsidRPr="00B4345D">
        <w:rPr>
          <w:color w:val="000000"/>
          <w:sz w:val="24"/>
          <w:szCs w:val="24"/>
          <w:lang w:eastAsia="uk-UA"/>
        </w:rPr>
        <w:t xml:space="preserve">, а при необхідності </w:t>
      </w:r>
      <w:r w:rsidRPr="00687FAF">
        <w:rPr>
          <w:color w:val="000000"/>
          <w:sz w:val="24"/>
          <w:szCs w:val="24"/>
          <w:lang w:eastAsia="uk-UA"/>
        </w:rPr>
        <w:t>в сервісному центрі Виконавця або за його місцезнаходженням.</w:t>
      </w:r>
    </w:p>
    <w:p w:rsidR="00CC4BDC" w:rsidRDefault="00B70660" w:rsidP="00B706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B70660">
        <w:rPr>
          <w:rFonts w:ascii="Times New Roman" w:hAnsi="Times New Roman"/>
          <w:b/>
          <w:sz w:val="24"/>
          <w:szCs w:val="24"/>
          <w:lang w:val="uk-UA" w:eastAsia="en-US"/>
        </w:rPr>
        <w:t>4.</w:t>
      </w:r>
      <w:r w:rsidR="00450137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B70660">
        <w:rPr>
          <w:rFonts w:ascii="Times New Roman" w:hAnsi="Times New Roman"/>
          <w:sz w:val="24"/>
          <w:szCs w:val="24"/>
          <w:lang w:val="uk-UA" w:eastAsia="en-US"/>
        </w:rPr>
        <w:t>До вартості послуг, які пропонуються учас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ником повинні бути включені усі </w:t>
      </w:r>
      <w:r w:rsidRPr="00B70660">
        <w:rPr>
          <w:rFonts w:ascii="Times New Roman" w:hAnsi="Times New Roman"/>
          <w:sz w:val="24"/>
          <w:szCs w:val="24"/>
          <w:lang w:val="uk-UA" w:eastAsia="en-US"/>
        </w:rPr>
        <w:t>необхідні матеріали для надання по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слуг, які є предметом закупівлі </w:t>
      </w:r>
      <w:r w:rsidRPr="00B70660">
        <w:rPr>
          <w:rFonts w:ascii="Times New Roman" w:hAnsi="Times New Roman"/>
          <w:b/>
          <w:i/>
          <w:sz w:val="24"/>
          <w:szCs w:val="24"/>
          <w:lang w:val="uk-UA" w:eastAsia="en-US"/>
        </w:rPr>
        <w:t>(надати гарантійний лист).</w:t>
      </w:r>
    </w:p>
    <w:p w:rsidR="00B70660" w:rsidRDefault="00B70660" w:rsidP="00B706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B70660">
        <w:rPr>
          <w:rFonts w:ascii="Times New Roman" w:hAnsi="Times New Roman"/>
          <w:b/>
          <w:sz w:val="24"/>
          <w:szCs w:val="24"/>
          <w:lang w:val="uk-UA" w:eastAsia="en-US"/>
        </w:rPr>
        <w:t>5.</w:t>
      </w:r>
      <w:r w:rsidR="00450137">
        <w:rPr>
          <w:rFonts w:ascii="Times New Roman" w:hAnsi="Times New Roman"/>
          <w:b/>
          <w:sz w:val="24"/>
          <w:szCs w:val="24"/>
          <w:lang w:val="uk-UA" w:eastAsia="en-US"/>
        </w:rPr>
        <w:t xml:space="preserve"> </w:t>
      </w:r>
      <w:r w:rsidRPr="00B70660">
        <w:rPr>
          <w:rFonts w:ascii="Times New Roman" w:hAnsi="Times New Roman"/>
          <w:sz w:val="24"/>
          <w:szCs w:val="24"/>
          <w:lang w:val="uk-UA" w:eastAsia="en-US"/>
        </w:rPr>
        <w:t xml:space="preserve">У разі виявлення недоліків, допущених при проведенні ремонту та технічному обслуговуванні, Учасник повинен усунути їх </w:t>
      </w:r>
      <w:r w:rsidR="008204DB">
        <w:rPr>
          <w:rFonts w:ascii="Times New Roman" w:hAnsi="Times New Roman"/>
          <w:sz w:val="24"/>
          <w:szCs w:val="24"/>
          <w:lang w:val="uk-UA" w:eastAsia="en-US"/>
        </w:rPr>
        <w:t xml:space="preserve">безоплатно, у термін не більше </w:t>
      </w:r>
      <w:r w:rsidR="00E73665">
        <w:rPr>
          <w:rFonts w:ascii="Times New Roman" w:hAnsi="Times New Roman"/>
          <w:sz w:val="24"/>
          <w:szCs w:val="24"/>
          <w:lang w:val="uk-UA" w:eastAsia="en-US"/>
        </w:rPr>
        <w:t>45</w:t>
      </w:r>
      <w:r w:rsidRPr="00B70660">
        <w:rPr>
          <w:rFonts w:ascii="Times New Roman" w:hAnsi="Times New Roman"/>
          <w:sz w:val="24"/>
          <w:szCs w:val="24"/>
          <w:lang w:val="uk-UA" w:eastAsia="en-US"/>
        </w:rPr>
        <w:t xml:space="preserve"> (</w:t>
      </w:r>
      <w:r w:rsidR="00E73665">
        <w:rPr>
          <w:rFonts w:ascii="Times New Roman" w:hAnsi="Times New Roman"/>
          <w:sz w:val="24"/>
          <w:szCs w:val="24"/>
          <w:lang w:val="uk-UA" w:eastAsia="en-US"/>
        </w:rPr>
        <w:t>сорока п’яти</w:t>
      </w:r>
      <w:r w:rsidRPr="00B70660">
        <w:rPr>
          <w:rFonts w:ascii="Times New Roman" w:hAnsi="Times New Roman"/>
          <w:sz w:val="24"/>
          <w:szCs w:val="24"/>
          <w:lang w:val="uk-UA" w:eastAsia="en-US"/>
        </w:rPr>
        <w:t>) робочих днів з моменту надходження відповідного звернення замовника</w:t>
      </w:r>
      <w:r w:rsidR="00845356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Pr="00B70660">
        <w:rPr>
          <w:rFonts w:ascii="Times New Roman" w:hAnsi="Times New Roman"/>
          <w:b/>
          <w:i/>
          <w:sz w:val="24"/>
          <w:szCs w:val="24"/>
          <w:lang w:val="uk-UA" w:eastAsia="en-US"/>
        </w:rPr>
        <w:t>(надати гарантійний лист).</w:t>
      </w:r>
    </w:p>
    <w:p w:rsidR="00B70660" w:rsidRPr="005B7F15" w:rsidRDefault="00B70660" w:rsidP="00B706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6. </w:t>
      </w:r>
      <w:r w:rsidR="005B7F15" w:rsidRPr="005B7F15">
        <w:rPr>
          <w:rFonts w:ascii="Times New Roman" w:hAnsi="Times New Roman"/>
          <w:sz w:val="24"/>
          <w:szCs w:val="24"/>
          <w:lang w:val="uk-UA" w:eastAsia="en-US"/>
        </w:rPr>
        <w:t>Учасник повинен надати к</w:t>
      </w:r>
      <w:r w:rsidRPr="005B7F15">
        <w:rPr>
          <w:rFonts w:ascii="Times New Roman" w:hAnsi="Times New Roman"/>
          <w:sz w:val="24"/>
          <w:szCs w:val="24"/>
          <w:lang w:val="uk-UA" w:eastAsia="en-US"/>
        </w:rPr>
        <w:t>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BB5698" w:rsidRDefault="005D7429" w:rsidP="007A68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3F4A5E">
        <w:rPr>
          <w:rFonts w:ascii="Times New Roman" w:hAnsi="Times New Roman"/>
          <w:b/>
          <w:sz w:val="24"/>
          <w:szCs w:val="24"/>
          <w:lang w:val="uk-UA"/>
        </w:rPr>
        <w:t>7.</w:t>
      </w:r>
      <w:r w:rsidR="00141CC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A6865" w:rsidRPr="007A6865">
        <w:rPr>
          <w:rFonts w:ascii="Times New Roman" w:hAnsi="Times New Roman"/>
          <w:sz w:val="24"/>
          <w:szCs w:val="24"/>
          <w:lang w:val="uk-UA"/>
        </w:rPr>
        <w:t xml:space="preserve">Учасник повинен мати необхідну кваліфікацію для проведення робіт з ремонту даного обладнання.На підтвердження Учасник надає </w:t>
      </w:r>
      <w:r w:rsidR="007A6865" w:rsidRPr="007A6865">
        <w:rPr>
          <w:rFonts w:ascii="Times New Roman" w:hAnsi="Times New Roman"/>
          <w:b/>
          <w:sz w:val="24"/>
          <w:szCs w:val="24"/>
          <w:lang w:val="uk-UA"/>
        </w:rPr>
        <w:t>копію сертифікату про проходження навчання</w:t>
      </w:r>
      <w:r w:rsidR="007A6865" w:rsidRPr="007A6865">
        <w:rPr>
          <w:rFonts w:ascii="Times New Roman" w:hAnsi="Times New Roman"/>
          <w:sz w:val="24"/>
          <w:szCs w:val="24"/>
          <w:lang w:val="uk-UA"/>
        </w:rPr>
        <w:t xml:space="preserve"> працівників/фахівців/інженерів Учасника у виробника обладнання, що підлягає ремонту. </w:t>
      </w:r>
    </w:p>
    <w:p w:rsidR="007A6865" w:rsidRDefault="00BB5698" w:rsidP="00BB56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50137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B5698">
        <w:rPr>
          <w:rFonts w:ascii="Times New Roman" w:hAnsi="Times New Roman"/>
          <w:sz w:val="24"/>
          <w:szCs w:val="24"/>
          <w:lang w:val="uk-UA"/>
        </w:rPr>
        <w:t>Учасник повинен мати необхідні навики та матеріали</w:t>
      </w:r>
      <w:r>
        <w:rPr>
          <w:rFonts w:ascii="Times New Roman" w:hAnsi="Times New Roman"/>
          <w:sz w:val="24"/>
          <w:szCs w:val="24"/>
          <w:lang w:val="uk-UA"/>
        </w:rPr>
        <w:t xml:space="preserve"> (запчастини)</w:t>
      </w:r>
      <w:r w:rsidRPr="00BB5698">
        <w:rPr>
          <w:rFonts w:ascii="Times New Roman" w:hAnsi="Times New Roman"/>
          <w:sz w:val="24"/>
          <w:szCs w:val="24"/>
          <w:lang w:val="uk-UA"/>
        </w:rPr>
        <w:t xml:space="preserve"> для виконання робіт з ремонту даного обладнання.На підтвердження Учасник надає </w:t>
      </w:r>
      <w:r w:rsidRPr="00BB5698">
        <w:rPr>
          <w:rFonts w:ascii="Times New Roman" w:hAnsi="Times New Roman"/>
          <w:b/>
          <w:sz w:val="24"/>
          <w:szCs w:val="24"/>
          <w:lang w:val="uk-UA"/>
        </w:rPr>
        <w:t>копію листа від виробника</w:t>
      </w:r>
      <w:r w:rsidRPr="00BB5698">
        <w:rPr>
          <w:rFonts w:ascii="Times New Roman" w:hAnsi="Times New Roman"/>
          <w:sz w:val="24"/>
          <w:szCs w:val="24"/>
          <w:lang w:val="uk-UA"/>
        </w:rPr>
        <w:t xml:space="preserve"> запчастини, яка підлягає заміні, яким підтверджується що Учасник має необхідні навики та матеріали (зап</w:t>
      </w:r>
      <w:r>
        <w:rPr>
          <w:rFonts w:ascii="Times New Roman" w:hAnsi="Times New Roman"/>
          <w:sz w:val="24"/>
          <w:szCs w:val="24"/>
          <w:lang w:val="uk-UA"/>
        </w:rPr>
        <w:t>частини) для виконання ремонту.</w:t>
      </w:r>
    </w:p>
    <w:bookmarkEnd w:id="0"/>
    <w:p w:rsidR="0018106F" w:rsidRPr="00A31A90" w:rsidRDefault="0018106F" w:rsidP="00D773E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8106F" w:rsidRPr="00A31A90" w:rsidSect="00687FAF">
      <w:pgSz w:w="11906" w:h="16838"/>
      <w:pgMar w:top="962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6CAC"/>
    <w:multiLevelType w:val="hybridMultilevel"/>
    <w:tmpl w:val="F5B00538"/>
    <w:lvl w:ilvl="0" w:tplc="480422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D49"/>
    <w:multiLevelType w:val="hybridMultilevel"/>
    <w:tmpl w:val="B2CE3E72"/>
    <w:lvl w:ilvl="0" w:tplc="4B66F23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BC2"/>
    <w:rsid w:val="00072316"/>
    <w:rsid w:val="00077145"/>
    <w:rsid w:val="000A1774"/>
    <w:rsid w:val="00113F98"/>
    <w:rsid w:val="00141CC1"/>
    <w:rsid w:val="0018106F"/>
    <w:rsid w:val="00220991"/>
    <w:rsid w:val="00324707"/>
    <w:rsid w:val="003E0E79"/>
    <w:rsid w:val="003F4A5E"/>
    <w:rsid w:val="00450137"/>
    <w:rsid w:val="00490F1F"/>
    <w:rsid w:val="004933DD"/>
    <w:rsid w:val="00506B9A"/>
    <w:rsid w:val="00535832"/>
    <w:rsid w:val="005B7F15"/>
    <w:rsid w:val="005D7429"/>
    <w:rsid w:val="00620E00"/>
    <w:rsid w:val="0062368B"/>
    <w:rsid w:val="0067240D"/>
    <w:rsid w:val="00687FAF"/>
    <w:rsid w:val="007A6865"/>
    <w:rsid w:val="007B5386"/>
    <w:rsid w:val="008073E7"/>
    <w:rsid w:val="008204DB"/>
    <w:rsid w:val="00845356"/>
    <w:rsid w:val="0089654C"/>
    <w:rsid w:val="00A31A90"/>
    <w:rsid w:val="00A43CD0"/>
    <w:rsid w:val="00A73BC2"/>
    <w:rsid w:val="00B4345D"/>
    <w:rsid w:val="00B70660"/>
    <w:rsid w:val="00B852E7"/>
    <w:rsid w:val="00BB5698"/>
    <w:rsid w:val="00C3332C"/>
    <w:rsid w:val="00C85EA1"/>
    <w:rsid w:val="00CC4BDC"/>
    <w:rsid w:val="00D773E0"/>
    <w:rsid w:val="00D942F8"/>
    <w:rsid w:val="00E4640F"/>
    <w:rsid w:val="00E723AB"/>
    <w:rsid w:val="00E73665"/>
    <w:rsid w:val="00E824C5"/>
    <w:rsid w:val="00E82BD8"/>
    <w:rsid w:val="00EF7AC7"/>
    <w:rsid w:val="00F422B3"/>
    <w:rsid w:val="00F9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2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9"/>
    <w:qFormat/>
    <w:rsid w:val="00A73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BC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Normal (Web)"/>
    <w:aliases w:val="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uiPriority w:val="99"/>
    <w:rsid w:val="00A73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A73BC2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Обычный (веб) Знак"/>
    <w:aliases w:val="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uiPriority w:val="99"/>
    <w:locked/>
    <w:rsid w:val="00A73BC2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A73BC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a"/>
    <w:link w:val="ListParagraphChar"/>
    <w:uiPriority w:val="99"/>
    <w:rsid w:val="00A73B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1"/>
    <w:uiPriority w:val="99"/>
    <w:locked/>
    <w:rsid w:val="00A73BC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7">
    <w:name w:val="Table Grid"/>
    <w:basedOn w:val="a1"/>
    <w:uiPriority w:val="59"/>
    <w:rsid w:val="0049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 (Интернет)"/>
    <w:basedOn w:val="a"/>
    <w:rsid w:val="00687FAF"/>
    <w:pPr>
      <w:suppressAutoHyphens/>
      <w:spacing w:before="280" w:after="280"/>
    </w:pPr>
    <w:rPr>
      <w:rFonts w:ascii="Times New Roman" w:hAnsi="Times New Roman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C882-E6F4-4500-98F0-51D7A06E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kata-agent</dc:creator>
  <cp:lastModifiedBy>Подруга</cp:lastModifiedBy>
  <cp:revision>10</cp:revision>
  <dcterms:created xsi:type="dcterms:W3CDTF">2023-10-18T05:56:00Z</dcterms:created>
  <dcterms:modified xsi:type="dcterms:W3CDTF">2023-10-18T12:33:00Z</dcterms:modified>
</cp:coreProperties>
</file>