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5" w:rsidRPr="00772BC4" w:rsidRDefault="00F64065" w:rsidP="00F64065">
      <w:pPr>
        <w:jc w:val="both"/>
        <w:rPr>
          <w:b/>
          <w:lang w:val="uk-UA"/>
        </w:rPr>
      </w:pPr>
    </w:p>
    <w:p w:rsidR="00F64065" w:rsidRPr="00772BC4" w:rsidRDefault="00F64065" w:rsidP="00F64065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№2</w:t>
      </w:r>
    </w:p>
    <w:p w:rsidR="00F64065" w:rsidRPr="00772BC4" w:rsidRDefault="00F64065" w:rsidP="00F64065">
      <w:pPr>
        <w:jc w:val="center"/>
        <w:rPr>
          <w:lang w:val="uk-UA"/>
        </w:rPr>
      </w:pPr>
      <w:r w:rsidRPr="00772BC4">
        <w:rPr>
          <w:b/>
          <w:iCs/>
          <w:lang w:val="uk-UA"/>
        </w:rPr>
        <w:t>Технічна</w:t>
      </w:r>
      <w:r w:rsidR="00BA28ED">
        <w:rPr>
          <w:b/>
          <w:iCs/>
          <w:lang w:val="uk-UA"/>
        </w:rPr>
        <w:t>, якісні та кількісні характеристики послуг</w:t>
      </w:r>
    </w:p>
    <w:p w:rsidR="00AE7F4B" w:rsidRPr="00906AD9" w:rsidRDefault="00F64065" w:rsidP="00AE7F4B">
      <w:pPr>
        <w:jc w:val="center"/>
        <w:rPr>
          <w:lang w:val="uk-UA"/>
        </w:rPr>
      </w:pPr>
      <w:r w:rsidRPr="00772BC4">
        <w:rPr>
          <w:lang w:val="uk-UA"/>
        </w:rPr>
        <w:tab/>
      </w:r>
      <w:r w:rsidR="00AE7F4B" w:rsidRPr="00906AD9">
        <w:rPr>
          <w:bCs/>
          <w:lang w:val="uk-UA"/>
        </w:rPr>
        <w:t xml:space="preserve">Лічильники кров’яних тілець </w:t>
      </w:r>
      <w:r w:rsidR="00AE7F4B" w:rsidRPr="00906AD9">
        <w:rPr>
          <w:lang w:val="uk-UA"/>
        </w:rPr>
        <w:t>код 38434550-6 згідно ЄЗС ДК 021:2015 (</w:t>
      </w:r>
      <w:r w:rsidR="00AE7F4B" w:rsidRPr="00906AD9">
        <w:rPr>
          <w:bCs/>
          <w:lang w:val="uk-UA"/>
        </w:rPr>
        <w:t>Лічильник лейкоцитарної формули СЧ-12</w:t>
      </w:r>
      <w:r w:rsidR="00AE7F4B" w:rsidRPr="00906AD9">
        <w:rPr>
          <w:lang w:val="uk-UA"/>
        </w:rPr>
        <w:t xml:space="preserve">) НК 024:2019: 30847 Аналізатор крові / </w:t>
      </w:r>
      <w:proofErr w:type="spellStart"/>
      <w:r w:rsidR="00AE7F4B" w:rsidRPr="00906AD9">
        <w:rPr>
          <w:lang w:val="uk-UA"/>
        </w:rPr>
        <w:t>рН</w:t>
      </w:r>
      <w:proofErr w:type="spellEnd"/>
      <w:r w:rsidR="00AE7F4B" w:rsidRPr="00906AD9">
        <w:rPr>
          <w:lang w:val="uk-UA"/>
        </w:rPr>
        <w:t xml:space="preserve"> / електролітів / метаболітів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90"/>
        <w:gridCol w:w="3805"/>
        <w:gridCol w:w="1843"/>
      </w:tblGrid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b/>
                <w:lang w:val="uk-UA"/>
              </w:rPr>
            </w:pPr>
            <w:r w:rsidRPr="00AE7F4B">
              <w:rPr>
                <w:b/>
                <w:lang w:val="uk-UA"/>
              </w:rPr>
              <w:t>№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b/>
                <w:lang w:val="uk-UA"/>
              </w:rPr>
            </w:pPr>
            <w:r w:rsidRPr="00AE7F4B">
              <w:rPr>
                <w:b/>
                <w:lang w:val="uk-UA"/>
              </w:rPr>
              <w:t>Найменування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b/>
                <w:lang w:val="uk-UA"/>
              </w:rPr>
            </w:pPr>
            <w:r w:rsidRPr="00AE7F4B">
              <w:rPr>
                <w:b/>
                <w:lang w:val="uk-UA"/>
              </w:rPr>
              <w:t>Вимога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b/>
                <w:lang w:val="uk-UA"/>
              </w:rPr>
            </w:pPr>
            <w:r w:rsidRPr="00AE7F4B">
              <w:rPr>
                <w:b/>
                <w:lang w:val="uk-UA"/>
              </w:rPr>
              <w:t>Відповідність (так/ні) з обов’язковим посиланням на сторінку з технічної документації виробника</w:t>
            </w: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Призначення</w:t>
            </w:r>
          </w:p>
        </w:tc>
        <w:tc>
          <w:tcPr>
            <w:tcW w:w="3805" w:type="dxa"/>
            <w:shd w:val="clear" w:color="auto" w:fill="auto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для реєстрації кількості різних форм лейкоцитів крові у фарбованому мазку крові під мікроскопом та розрахунку їх відсоткового співвідношення до загальної суми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Тип індикатора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Електронне цифрове табло</w:t>
            </w:r>
          </w:p>
        </w:tc>
        <w:tc>
          <w:tcPr>
            <w:tcW w:w="1843" w:type="dxa"/>
            <w:shd w:val="clear" w:color="auto" w:fill="auto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Розміщення лічильних клавіш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в один ряд</w:t>
            </w:r>
          </w:p>
        </w:tc>
        <w:tc>
          <w:tcPr>
            <w:tcW w:w="1843" w:type="dxa"/>
            <w:shd w:val="clear" w:color="auto" w:fill="auto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4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Незалежна фіксація кількості натисків по 12 каналах з одночасним виведенням результатів на цифрове табло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Наявність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5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Кількість знаків індикації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6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Число каналів індикації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7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Загальна сума натисків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До 999</w:t>
            </w:r>
          </w:p>
        </w:tc>
        <w:tc>
          <w:tcPr>
            <w:tcW w:w="1843" w:type="dxa"/>
            <w:shd w:val="clear" w:color="auto" w:fill="auto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8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Запрограмовані індекси для автоматичного розрахунку лічильником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- Лейкоцитарний індекс інтоксикації;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- Модифікований лейкоцитарний індекс інтоксикації </w:t>
            </w:r>
            <w:proofErr w:type="spellStart"/>
            <w:r w:rsidRPr="00AE7F4B">
              <w:rPr>
                <w:lang w:val="uk-UA"/>
              </w:rPr>
              <w:t>Рейса</w:t>
            </w:r>
            <w:proofErr w:type="spellEnd"/>
            <w:r w:rsidRPr="00AE7F4B">
              <w:rPr>
                <w:lang w:val="uk-UA"/>
              </w:rPr>
              <w:t>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- Реактивна відповідь </w:t>
            </w:r>
            <w:proofErr w:type="spellStart"/>
            <w:r w:rsidRPr="00AE7F4B">
              <w:rPr>
                <w:lang w:val="uk-UA"/>
              </w:rPr>
              <w:t>нейтрофілів</w:t>
            </w:r>
            <w:proofErr w:type="spellEnd"/>
            <w:r w:rsidRPr="00AE7F4B">
              <w:rPr>
                <w:lang w:val="uk-UA"/>
              </w:rPr>
              <w:t>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- Ядерний індекс </w:t>
            </w:r>
            <w:proofErr w:type="spellStart"/>
            <w:r w:rsidRPr="00AE7F4B">
              <w:rPr>
                <w:lang w:val="uk-UA"/>
              </w:rPr>
              <w:t>Даштаянца</w:t>
            </w:r>
            <w:proofErr w:type="spellEnd"/>
            <w:r w:rsidRPr="00AE7F4B">
              <w:rPr>
                <w:lang w:val="uk-UA"/>
              </w:rPr>
              <w:t>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- Індекс зсуву лейкоцитів крові;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- </w:t>
            </w:r>
            <w:proofErr w:type="spellStart"/>
            <w:r w:rsidRPr="00AE7F4B">
              <w:rPr>
                <w:lang w:val="uk-UA"/>
              </w:rPr>
              <w:t>Лімфоцитарно-гранулоцитарний</w:t>
            </w:r>
            <w:proofErr w:type="spellEnd"/>
            <w:r w:rsidRPr="00AE7F4B">
              <w:rPr>
                <w:lang w:val="uk-UA"/>
              </w:rPr>
              <w:t xml:space="preserve"> індекс; 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- Лейкоцитарний індекс;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- Індекс співвідношення </w:t>
            </w:r>
            <w:proofErr w:type="spellStart"/>
            <w:r w:rsidRPr="00AE7F4B">
              <w:rPr>
                <w:lang w:val="uk-UA"/>
              </w:rPr>
              <w:t>нейтрофілів</w:t>
            </w:r>
            <w:proofErr w:type="spellEnd"/>
            <w:r w:rsidRPr="00AE7F4B">
              <w:rPr>
                <w:lang w:val="uk-UA"/>
              </w:rPr>
              <w:t xml:space="preserve"> і моноцитів;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- Індекс співвідношення лімфоцитів і еозинофілів;</w:t>
            </w:r>
          </w:p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- Індекс </w:t>
            </w:r>
            <w:proofErr w:type="spellStart"/>
            <w:r w:rsidRPr="00AE7F4B">
              <w:rPr>
                <w:lang w:val="uk-UA"/>
              </w:rPr>
              <w:t>алергизації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9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Дискретність встановлення контрольної суми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50 </w:t>
            </w:r>
          </w:p>
        </w:tc>
        <w:tc>
          <w:tcPr>
            <w:tcW w:w="1843" w:type="dxa"/>
            <w:shd w:val="clear" w:color="auto" w:fill="auto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10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Звуковий сигнал при досягненні запрограмованої контрольної суми 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Наявність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11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Розміри не більше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310х60х30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  <w:tr w:rsidR="00AE7F4B" w:rsidRPr="00AE7F4B" w:rsidTr="00041F4F">
        <w:tc>
          <w:tcPr>
            <w:tcW w:w="458" w:type="dxa"/>
            <w:shd w:val="clear" w:color="auto" w:fill="auto"/>
            <w:vAlign w:val="center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12</w:t>
            </w:r>
          </w:p>
        </w:tc>
        <w:tc>
          <w:tcPr>
            <w:tcW w:w="3790" w:type="dxa"/>
            <w:shd w:val="clear" w:color="auto" w:fill="auto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 xml:space="preserve">Гарантійний термін на обладнання </w:t>
            </w:r>
          </w:p>
        </w:tc>
        <w:tc>
          <w:tcPr>
            <w:tcW w:w="3805" w:type="dxa"/>
            <w:shd w:val="clear" w:color="auto" w:fill="auto"/>
          </w:tcPr>
          <w:p w:rsidR="00AE7F4B" w:rsidRPr="00AE7F4B" w:rsidRDefault="00AE7F4B" w:rsidP="00041F4F">
            <w:pPr>
              <w:rPr>
                <w:lang w:val="uk-UA"/>
              </w:rPr>
            </w:pPr>
            <w:r w:rsidRPr="00AE7F4B">
              <w:rPr>
                <w:lang w:val="uk-UA"/>
              </w:rPr>
              <w:t>не менше 36 місяців з дати продажу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F4B" w:rsidRPr="00AE7F4B" w:rsidRDefault="00AE7F4B" w:rsidP="00041F4F">
            <w:pPr>
              <w:jc w:val="center"/>
              <w:rPr>
                <w:lang w:val="uk-UA"/>
              </w:rPr>
            </w:pPr>
          </w:p>
        </w:tc>
      </w:tr>
    </w:tbl>
    <w:p w:rsidR="00AE7F4B" w:rsidRPr="00AE7F4B" w:rsidRDefault="00AE7F4B" w:rsidP="00AE7F4B">
      <w:pPr>
        <w:widowControl w:val="0"/>
        <w:suppressAutoHyphens/>
        <w:rPr>
          <w:b/>
          <w:kern w:val="1"/>
          <w:lang w:val="uk-UA" w:eastAsia="hi-IN" w:bidi="hi-IN"/>
        </w:rPr>
      </w:pPr>
      <w:r w:rsidRPr="00AE7F4B">
        <w:rPr>
          <w:b/>
          <w:kern w:val="1"/>
          <w:lang w:val="uk-UA" w:eastAsia="hi-IN" w:bidi="hi-IN"/>
        </w:rPr>
        <w:lastRenderedPageBreak/>
        <w:t>Додаткові вимоги:</w:t>
      </w:r>
    </w:p>
    <w:p w:rsidR="00AE7F4B" w:rsidRPr="00AE7F4B" w:rsidRDefault="00AE7F4B" w:rsidP="00AE7F4B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  <w:rPr>
          <w:kern w:val="1"/>
          <w:lang w:val="uk-UA" w:eastAsia="hi-IN" w:bidi="hi-IN"/>
        </w:rPr>
      </w:pPr>
      <w:r w:rsidRPr="00AE7F4B">
        <w:rPr>
          <w:kern w:val="1"/>
          <w:lang w:val="uk-UA" w:eastAsia="hi-IN" w:bidi="hi-IN"/>
        </w:rPr>
        <w:t>Оригінал гарантійного листа від виробника товару (офіційного представника), що підтверджує можливість постачання учасником запропонованого товару в необхідній кількості, якості та в потрібні терміни.</w:t>
      </w:r>
    </w:p>
    <w:p w:rsidR="00AE7F4B" w:rsidRPr="00AE7F4B" w:rsidRDefault="00AE7F4B" w:rsidP="00AE7F4B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  <w:rPr>
          <w:kern w:val="1"/>
          <w:lang w:val="uk-UA" w:eastAsia="hi-IN" w:bidi="hi-IN"/>
        </w:rPr>
      </w:pPr>
      <w:r w:rsidRPr="00AE7F4B">
        <w:rPr>
          <w:kern w:val="1"/>
          <w:lang w:val="uk-UA" w:eastAsia="hi-IN" w:bidi="hi-IN"/>
        </w:rPr>
        <w:t>Постачальник має надати таблицю відповідності медико-технічним вимогам  запропонованого товару.</w:t>
      </w:r>
    </w:p>
    <w:p w:rsidR="00AE7F4B" w:rsidRPr="00AE7F4B" w:rsidRDefault="00AE7F4B" w:rsidP="00AE7F4B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  <w:rPr>
          <w:kern w:val="1"/>
          <w:lang w:val="uk-UA" w:eastAsia="hi-IN" w:bidi="hi-IN"/>
        </w:rPr>
      </w:pPr>
      <w:r w:rsidRPr="00AE7F4B">
        <w:rPr>
          <w:kern w:val="1"/>
          <w:lang w:val="uk-UA" w:eastAsia="hi-IN" w:bidi="hi-IN"/>
        </w:rPr>
        <w:t xml:space="preserve">Реєстратор має бути 2020-2021р. випуску, що не був у використанні, та не має бути відновленим  обладнанням. </w:t>
      </w:r>
    </w:p>
    <w:p w:rsidR="00AE7F4B" w:rsidRPr="00AE7F4B" w:rsidRDefault="00AE7F4B" w:rsidP="00AE7F4B">
      <w:pPr>
        <w:numPr>
          <w:ilvl w:val="0"/>
          <w:numId w:val="2"/>
        </w:numPr>
        <w:jc w:val="both"/>
        <w:rPr>
          <w:lang w:val="uk-UA"/>
        </w:rPr>
      </w:pPr>
      <w:r w:rsidRPr="00AE7F4B">
        <w:rPr>
          <w:lang w:val="uk-UA"/>
        </w:rPr>
        <w:t>Наявність декларації про відповідність вимогам технічного регламенту щодо медичних виробів (надати  копію);</w:t>
      </w:r>
    </w:p>
    <w:p w:rsidR="00AE7F4B" w:rsidRPr="00AE7F4B" w:rsidRDefault="00AE7F4B" w:rsidP="00AE7F4B">
      <w:pPr>
        <w:jc w:val="both"/>
        <w:rPr>
          <w:lang w:val="uk-UA"/>
        </w:rPr>
      </w:pPr>
    </w:p>
    <w:p w:rsidR="00D21E85" w:rsidRPr="00AE7F4B" w:rsidRDefault="00D21E85" w:rsidP="00AE7F4B">
      <w:pPr>
        <w:autoSpaceDN w:val="0"/>
        <w:jc w:val="both"/>
        <w:rPr>
          <w:lang w:val="uk-UA"/>
        </w:rPr>
      </w:pPr>
      <w:bookmarkStart w:id="0" w:name="_GoBack"/>
      <w:bookmarkEnd w:id="0"/>
    </w:p>
    <w:sectPr w:rsidR="00D21E85" w:rsidRPr="00A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72AB"/>
    <w:multiLevelType w:val="hybridMultilevel"/>
    <w:tmpl w:val="399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654F7F"/>
    <w:multiLevelType w:val="hybridMultilevel"/>
    <w:tmpl w:val="A378CBA4"/>
    <w:lvl w:ilvl="0" w:tplc="CF6AD1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5"/>
    <w:rsid w:val="00681425"/>
    <w:rsid w:val="00AE7F4B"/>
    <w:rsid w:val="00BA28ED"/>
    <w:rsid w:val="00D21E85"/>
    <w:rsid w:val="00F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E7F4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E7F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2023-05-30T06:41:00Z</dcterms:created>
  <dcterms:modified xsi:type="dcterms:W3CDTF">2023-05-30T08:51:00Z</dcterms:modified>
</cp:coreProperties>
</file>