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E7" w:rsidRDefault="00B655E7" w:rsidP="00B655E7">
      <w:pPr>
        <w:spacing w:after="0" w:line="240" w:lineRule="auto"/>
        <w:jc w:val="right"/>
        <w:rPr>
          <w:rFonts w:ascii="Times New Roman" w:eastAsiaTheme="minorHAnsi" w:hAnsi="Times New Roman" w:cs="Times New Roman"/>
          <w:b/>
          <w:i/>
          <w:sz w:val="24"/>
          <w:szCs w:val="24"/>
          <w:lang w:eastAsia="en-US"/>
        </w:rPr>
      </w:pPr>
      <w:r>
        <w:rPr>
          <w:rFonts w:ascii="Times New Roman" w:hAnsi="Times New Roman" w:cs="Times New Roman"/>
          <w:b/>
          <w:i/>
          <w:sz w:val="24"/>
          <w:szCs w:val="24"/>
        </w:rPr>
        <w:t>Додаток 1</w:t>
      </w:r>
    </w:p>
    <w:p w:rsidR="00B655E7" w:rsidRDefault="00B655E7" w:rsidP="00B655E7">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До оголошення про проведення спрощеної процедури</w:t>
      </w:r>
    </w:p>
    <w:p w:rsidR="00B655E7" w:rsidRDefault="00B655E7" w:rsidP="00B655E7">
      <w:pPr>
        <w:spacing w:after="0" w:line="240" w:lineRule="auto"/>
        <w:jc w:val="right"/>
        <w:rPr>
          <w:rFonts w:ascii="Times New Roman" w:hAnsi="Times New Roman" w:cs="Times New Roman"/>
          <w:b/>
          <w:i/>
          <w:sz w:val="24"/>
          <w:szCs w:val="24"/>
        </w:rPr>
      </w:pPr>
    </w:p>
    <w:p w:rsidR="00B655E7" w:rsidRDefault="00B655E7" w:rsidP="00B655E7">
      <w:pPr>
        <w:jc w:val="center"/>
        <w:rPr>
          <w:rFonts w:ascii="Times New Roman" w:hAnsi="Times New Roman" w:cs="Times New Roman"/>
          <w:b/>
          <w:sz w:val="28"/>
          <w:szCs w:val="28"/>
        </w:rPr>
      </w:pPr>
      <w:r>
        <w:rPr>
          <w:rFonts w:ascii="Times New Roman" w:hAnsi="Times New Roman" w:cs="Times New Roman"/>
          <w:b/>
          <w:sz w:val="28"/>
          <w:szCs w:val="28"/>
        </w:rPr>
        <w:t>Інформація про технічні, якісні та інші характеристики предмета закупівлі</w:t>
      </w:r>
    </w:p>
    <w:p w:rsidR="00B655E7" w:rsidRDefault="00B655E7" w:rsidP="00B655E7">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Бензин А-95, Дизельне паливо</w:t>
      </w:r>
      <w:r>
        <w:rPr>
          <w:rFonts w:ascii="Times New Roman" w:eastAsia="Times New Roman" w:hAnsi="Times New Roman" w:cs="Times New Roman"/>
          <w:b/>
          <w:sz w:val="24"/>
          <w:szCs w:val="24"/>
        </w:rPr>
        <w:t xml:space="preserve">» </w:t>
      </w:r>
    </w:p>
    <w:p w:rsidR="00B655E7" w:rsidRDefault="00B655E7" w:rsidP="00B655E7">
      <w:pPr>
        <w:jc w:val="center"/>
        <w:rPr>
          <w:rFonts w:ascii="Times New Roman" w:eastAsiaTheme="minorHAnsi" w:hAnsi="Times New Roman" w:cs="Times New Roman"/>
          <w:b/>
          <w:bCs/>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ДК 021:2015 – 09130000-9 Нафта і дистиляти</w:t>
      </w:r>
      <w:r>
        <w:rPr>
          <w:rFonts w:ascii="Times New Roman" w:hAnsi="Times New Roman" w:cs="Times New Roman"/>
          <w:b/>
          <w:bCs/>
          <w:sz w:val="24"/>
          <w:szCs w:val="24"/>
        </w:rPr>
        <w:t>)</w:t>
      </w:r>
    </w:p>
    <w:p w:rsidR="00B655E7" w:rsidRDefault="00B655E7" w:rsidP="00B655E7">
      <w:pPr>
        <w:spacing w:after="0"/>
        <w:ind w:firstLine="709"/>
        <w:jc w:val="both"/>
        <w:outlineLvl w:val="0"/>
        <w:rPr>
          <w:rFonts w:ascii="Times New Roman" w:hAnsi="Times New Roman" w:cs="Times New Roman"/>
          <w:b/>
          <w:sz w:val="24"/>
          <w:szCs w:val="24"/>
        </w:rPr>
      </w:pPr>
    </w:p>
    <w:p w:rsidR="00B655E7" w:rsidRDefault="00B655E7" w:rsidP="00B655E7">
      <w:pPr>
        <w:spacing w:after="0"/>
        <w:ind w:firstLine="709"/>
        <w:jc w:val="both"/>
        <w:outlineLvl w:val="0"/>
        <w:rPr>
          <w:rFonts w:ascii="Times New Roman" w:hAnsi="Times New Roman" w:cs="Times New Roman"/>
          <w:b/>
          <w:bCs/>
          <w:sz w:val="24"/>
          <w:szCs w:val="24"/>
        </w:rPr>
      </w:pPr>
    </w:p>
    <w:tbl>
      <w:tblPr>
        <w:tblStyle w:val="a4"/>
        <w:tblW w:w="0" w:type="auto"/>
        <w:jc w:val="center"/>
        <w:tblInd w:w="0" w:type="dxa"/>
        <w:tblLook w:val="04A0" w:firstRow="1" w:lastRow="0" w:firstColumn="1" w:lastColumn="0" w:noHBand="0" w:noVBand="1"/>
      </w:tblPr>
      <w:tblGrid>
        <w:gridCol w:w="707"/>
        <w:gridCol w:w="2081"/>
        <w:gridCol w:w="3128"/>
        <w:gridCol w:w="1844"/>
        <w:gridCol w:w="1869"/>
      </w:tblGrid>
      <w:tr w:rsidR="00B655E7" w:rsidTr="00DB23D0">
        <w:trPr>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B655E7" w:rsidRDefault="00B655E7" w:rsidP="00DB23D0">
            <w:pPr>
              <w:autoSpaceDE w:val="0"/>
              <w:autoSpaceDN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п/п</w:t>
            </w:r>
          </w:p>
        </w:tc>
        <w:tc>
          <w:tcPr>
            <w:tcW w:w="2174" w:type="dxa"/>
            <w:tcBorders>
              <w:top w:val="single" w:sz="4" w:space="0" w:color="auto"/>
              <w:left w:val="single" w:sz="4" w:space="0" w:color="auto"/>
              <w:bottom w:val="single" w:sz="4" w:space="0" w:color="auto"/>
              <w:right w:val="single" w:sz="4" w:space="0" w:color="auto"/>
            </w:tcBorders>
            <w:vAlign w:val="center"/>
            <w:hideMark/>
          </w:tcPr>
          <w:p w:rsidR="00B655E7" w:rsidRDefault="00B655E7" w:rsidP="00DB23D0">
            <w:pPr>
              <w:autoSpaceDE w:val="0"/>
              <w:autoSpaceDN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Найменування товару</w:t>
            </w:r>
          </w:p>
        </w:tc>
        <w:tc>
          <w:tcPr>
            <w:tcW w:w="3485" w:type="dxa"/>
            <w:tcBorders>
              <w:top w:val="single" w:sz="4" w:space="0" w:color="auto"/>
              <w:left w:val="single" w:sz="4" w:space="0" w:color="auto"/>
              <w:bottom w:val="single" w:sz="4" w:space="0" w:color="auto"/>
              <w:right w:val="single" w:sz="4" w:space="0" w:color="auto"/>
            </w:tcBorders>
            <w:vAlign w:val="center"/>
            <w:hideMark/>
          </w:tcPr>
          <w:p w:rsidR="00B655E7" w:rsidRDefault="00B655E7" w:rsidP="00DB23D0">
            <w:pPr>
              <w:autoSpaceDE w:val="0"/>
              <w:autoSpaceDN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Встановлені вимоги до якості</w:t>
            </w:r>
          </w:p>
        </w:tc>
        <w:tc>
          <w:tcPr>
            <w:tcW w:w="2025" w:type="dxa"/>
            <w:tcBorders>
              <w:top w:val="single" w:sz="4" w:space="0" w:color="auto"/>
              <w:left w:val="single" w:sz="4" w:space="0" w:color="auto"/>
              <w:bottom w:val="single" w:sz="4" w:space="0" w:color="auto"/>
              <w:right w:val="single" w:sz="4" w:space="0" w:color="auto"/>
            </w:tcBorders>
            <w:vAlign w:val="center"/>
            <w:hideMark/>
          </w:tcPr>
          <w:p w:rsidR="00B655E7" w:rsidRDefault="00B655E7" w:rsidP="00DB23D0">
            <w:pPr>
              <w:autoSpaceDE w:val="0"/>
              <w:autoSpaceDN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Одиниця виміру</w:t>
            </w:r>
          </w:p>
        </w:tc>
        <w:tc>
          <w:tcPr>
            <w:tcW w:w="2046" w:type="dxa"/>
            <w:tcBorders>
              <w:top w:val="single" w:sz="4" w:space="0" w:color="auto"/>
              <w:left w:val="single" w:sz="4" w:space="0" w:color="auto"/>
              <w:bottom w:val="single" w:sz="4" w:space="0" w:color="auto"/>
              <w:right w:val="single" w:sz="4" w:space="0" w:color="auto"/>
            </w:tcBorders>
            <w:vAlign w:val="center"/>
            <w:hideMark/>
          </w:tcPr>
          <w:p w:rsidR="00B655E7" w:rsidRDefault="00B655E7" w:rsidP="00DB23D0">
            <w:pPr>
              <w:autoSpaceDE w:val="0"/>
              <w:autoSpaceDN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товару</w:t>
            </w:r>
          </w:p>
        </w:tc>
      </w:tr>
      <w:tr w:rsidR="00B655E7" w:rsidTr="00DB23D0">
        <w:trPr>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B655E7" w:rsidRDefault="00B655E7" w:rsidP="00DB23D0">
            <w:pPr>
              <w:autoSpaceDE w:val="0"/>
              <w:autoSpaceDN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74" w:type="dxa"/>
            <w:tcBorders>
              <w:top w:val="single" w:sz="4" w:space="0" w:color="auto"/>
              <w:left w:val="single" w:sz="4" w:space="0" w:color="auto"/>
              <w:bottom w:val="single" w:sz="4" w:space="0" w:color="auto"/>
              <w:right w:val="single" w:sz="4" w:space="0" w:color="auto"/>
            </w:tcBorders>
            <w:vAlign w:val="center"/>
            <w:hideMark/>
          </w:tcPr>
          <w:p w:rsidR="00B655E7" w:rsidRDefault="00B655E7" w:rsidP="00DB23D0">
            <w:pPr>
              <w:autoSpaceDE w:val="0"/>
              <w:autoSpaceDN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Бензин А-95</w:t>
            </w:r>
          </w:p>
        </w:tc>
        <w:tc>
          <w:tcPr>
            <w:tcW w:w="3485" w:type="dxa"/>
            <w:tcBorders>
              <w:top w:val="single" w:sz="4" w:space="0" w:color="auto"/>
              <w:left w:val="single" w:sz="4" w:space="0" w:color="auto"/>
              <w:bottom w:val="single" w:sz="4" w:space="0" w:color="auto"/>
              <w:right w:val="single" w:sz="4" w:space="0" w:color="auto"/>
            </w:tcBorders>
            <w:vAlign w:val="center"/>
            <w:hideMark/>
          </w:tcPr>
          <w:p w:rsidR="00B655E7" w:rsidRDefault="00B655E7" w:rsidP="00DB23D0">
            <w:pPr>
              <w:autoSpaceDE w:val="0"/>
              <w:autoSpaceDN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ДСТУ 7687.2015 ГОСТ. Технічному регламенту щодо вимог до автомобільних бензинів, дизельних, суднових та котельних палив» затвердженим постановою Кабінету Міністрів України №927 від 01 серпня 2013 року.</w:t>
            </w:r>
          </w:p>
        </w:tc>
        <w:tc>
          <w:tcPr>
            <w:tcW w:w="2025" w:type="dxa"/>
            <w:tcBorders>
              <w:top w:val="single" w:sz="4" w:space="0" w:color="auto"/>
              <w:left w:val="single" w:sz="4" w:space="0" w:color="auto"/>
              <w:bottom w:val="single" w:sz="4" w:space="0" w:color="auto"/>
              <w:right w:val="single" w:sz="4" w:space="0" w:color="auto"/>
            </w:tcBorders>
            <w:vAlign w:val="center"/>
            <w:hideMark/>
          </w:tcPr>
          <w:p w:rsidR="00B655E7" w:rsidRDefault="00B655E7" w:rsidP="00DB23D0">
            <w:pPr>
              <w:autoSpaceDE w:val="0"/>
              <w:autoSpaceDN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2046" w:type="dxa"/>
            <w:tcBorders>
              <w:top w:val="single" w:sz="4" w:space="0" w:color="auto"/>
              <w:left w:val="single" w:sz="4" w:space="0" w:color="auto"/>
              <w:bottom w:val="single" w:sz="4" w:space="0" w:color="auto"/>
              <w:right w:val="single" w:sz="4" w:space="0" w:color="auto"/>
            </w:tcBorders>
            <w:vAlign w:val="center"/>
            <w:hideMark/>
          </w:tcPr>
          <w:p w:rsidR="00B655E7" w:rsidRDefault="00B655E7" w:rsidP="00DB23D0">
            <w:pPr>
              <w:autoSpaceDE w:val="0"/>
              <w:autoSpaceDN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200</w:t>
            </w:r>
          </w:p>
        </w:tc>
      </w:tr>
      <w:tr w:rsidR="00B655E7" w:rsidTr="00DB23D0">
        <w:trPr>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B655E7" w:rsidRDefault="00B655E7" w:rsidP="00DB23D0">
            <w:pPr>
              <w:autoSpaceDE w:val="0"/>
              <w:autoSpaceDN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174" w:type="dxa"/>
            <w:tcBorders>
              <w:top w:val="single" w:sz="4" w:space="0" w:color="auto"/>
              <w:left w:val="single" w:sz="4" w:space="0" w:color="auto"/>
              <w:bottom w:val="single" w:sz="4" w:space="0" w:color="auto"/>
              <w:right w:val="single" w:sz="4" w:space="0" w:color="auto"/>
            </w:tcBorders>
            <w:vAlign w:val="center"/>
            <w:hideMark/>
          </w:tcPr>
          <w:p w:rsidR="00B655E7" w:rsidRDefault="00B655E7" w:rsidP="00DB23D0">
            <w:pPr>
              <w:autoSpaceDE w:val="0"/>
              <w:autoSpaceDN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Дизельне паливо</w:t>
            </w:r>
          </w:p>
        </w:tc>
        <w:tc>
          <w:tcPr>
            <w:tcW w:w="3485" w:type="dxa"/>
            <w:tcBorders>
              <w:top w:val="single" w:sz="4" w:space="0" w:color="auto"/>
              <w:left w:val="single" w:sz="4" w:space="0" w:color="auto"/>
              <w:bottom w:val="single" w:sz="4" w:space="0" w:color="auto"/>
              <w:right w:val="single" w:sz="4" w:space="0" w:color="auto"/>
            </w:tcBorders>
            <w:vAlign w:val="center"/>
          </w:tcPr>
          <w:p w:rsidR="00B655E7" w:rsidRDefault="00B655E7" w:rsidP="00DB23D0">
            <w:pPr>
              <w:pStyle w:val="a3"/>
            </w:pPr>
            <w:r>
              <w:rPr>
                <w:lang w:val="uk-UA"/>
              </w:rPr>
              <w:t xml:space="preserve">        </w:t>
            </w:r>
            <w:r>
              <w:t xml:space="preserve">ДСТУ 7688:2015 </w:t>
            </w:r>
            <w:proofErr w:type="spellStart"/>
            <w:r>
              <w:t>Технічному</w:t>
            </w:r>
            <w:proofErr w:type="spellEnd"/>
            <w:r>
              <w:t xml:space="preserve"> регламенту </w:t>
            </w:r>
            <w:proofErr w:type="spellStart"/>
            <w:r>
              <w:t>щодо</w:t>
            </w:r>
            <w:proofErr w:type="spellEnd"/>
            <w:r>
              <w:t xml:space="preserve"> </w:t>
            </w:r>
            <w:proofErr w:type="spellStart"/>
            <w:r>
              <w:t>вимог</w:t>
            </w:r>
            <w:proofErr w:type="spellEnd"/>
            <w:r>
              <w:t xml:space="preserve"> до </w:t>
            </w:r>
            <w:proofErr w:type="spellStart"/>
            <w:r>
              <w:t>автомобільних</w:t>
            </w:r>
            <w:proofErr w:type="spellEnd"/>
            <w:r>
              <w:t xml:space="preserve"> </w:t>
            </w:r>
            <w:proofErr w:type="spellStart"/>
            <w:r>
              <w:t>бензинів</w:t>
            </w:r>
            <w:proofErr w:type="spellEnd"/>
            <w:r>
              <w:t xml:space="preserve">, </w:t>
            </w:r>
            <w:proofErr w:type="spellStart"/>
            <w:r>
              <w:t>дизельних</w:t>
            </w:r>
            <w:proofErr w:type="spellEnd"/>
            <w:r>
              <w:t xml:space="preserve">, </w:t>
            </w:r>
            <w:proofErr w:type="spellStart"/>
            <w:r>
              <w:t>суднових</w:t>
            </w:r>
            <w:proofErr w:type="spellEnd"/>
            <w:r>
              <w:t xml:space="preserve"> та </w:t>
            </w:r>
            <w:proofErr w:type="spellStart"/>
            <w:r>
              <w:t>котельних</w:t>
            </w:r>
            <w:proofErr w:type="spellEnd"/>
            <w:r>
              <w:t xml:space="preserve"> палив» </w:t>
            </w:r>
            <w:proofErr w:type="spellStart"/>
            <w:r>
              <w:t>затвердженим</w:t>
            </w:r>
            <w:proofErr w:type="spellEnd"/>
            <w:r>
              <w:t xml:space="preserve"> </w:t>
            </w:r>
            <w:proofErr w:type="spellStart"/>
            <w:r>
              <w:t>постановою</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№927 </w:t>
            </w:r>
            <w:proofErr w:type="spellStart"/>
            <w:r>
              <w:t>від</w:t>
            </w:r>
            <w:proofErr w:type="spellEnd"/>
            <w:r>
              <w:t xml:space="preserve"> 01 </w:t>
            </w:r>
            <w:proofErr w:type="spellStart"/>
            <w:r>
              <w:t>серпня</w:t>
            </w:r>
            <w:proofErr w:type="spellEnd"/>
            <w:r>
              <w:t xml:space="preserve"> 2013 року</w:t>
            </w:r>
          </w:p>
          <w:p w:rsidR="00B655E7" w:rsidRDefault="00B655E7" w:rsidP="00DB23D0">
            <w:pPr>
              <w:autoSpaceDE w:val="0"/>
              <w:autoSpaceDN w:val="0"/>
              <w:spacing w:after="0" w:line="240" w:lineRule="auto"/>
              <w:jc w:val="center"/>
              <w:rPr>
                <w:rFonts w:ascii="Times New Roman" w:hAnsi="Times New Roman" w:cs="Times New Roman"/>
                <w:sz w:val="24"/>
                <w:szCs w:val="24"/>
                <w:lang w:val="uk-UA"/>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B655E7" w:rsidRDefault="00B655E7" w:rsidP="00DB23D0">
            <w:pPr>
              <w:autoSpaceDE w:val="0"/>
              <w:autoSpaceDN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2046" w:type="dxa"/>
            <w:tcBorders>
              <w:top w:val="single" w:sz="4" w:space="0" w:color="auto"/>
              <w:left w:val="single" w:sz="4" w:space="0" w:color="auto"/>
              <w:bottom w:val="single" w:sz="4" w:space="0" w:color="auto"/>
              <w:right w:val="single" w:sz="4" w:space="0" w:color="auto"/>
            </w:tcBorders>
            <w:vAlign w:val="center"/>
            <w:hideMark/>
          </w:tcPr>
          <w:p w:rsidR="00B655E7" w:rsidRDefault="00B655E7" w:rsidP="00DB23D0">
            <w:pPr>
              <w:autoSpaceDE w:val="0"/>
              <w:autoSpaceDN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350</w:t>
            </w:r>
          </w:p>
        </w:tc>
      </w:tr>
    </w:tbl>
    <w:p w:rsidR="00B655E7" w:rsidRDefault="00B655E7" w:rsidP="00B655E7">
      <w:pPr>
        <w:autoSpaceDE w:val="0"/>
        <w:autoSpaceDN w:val="0"/>
        <w:spacing w:after="0" w:line="240" w:lineRule="auto"/>
        <w:rPr>
          <w:rFonts w:ascii="Times New Roman" w:hAnsi="Times New Roman" w:cs="Times New Roman"/>
          <w:sz w:val="24"/>
          <w:szCs w:val="24"/>
          <w:lang w:eastAsia="en-US"/>
        </w:rPr>
      </w:pPr>
    </w:p>
    <w:p w:rsidR="00B655E7" w:rsidRDefault="00B655E7" w:rsidP="00B655E7">
      <w:pPr>
        <w:jc w:val="both"/>
        <w:rPr>
          <w:rFonts w:ascii="Times New Roman" w:hAnsi="Times New Roman" w:cs="Times New Roman"/>
          <w:sz w:val="24"/>
          <w:szCs w:val="24"/>
          <w:lang w:val="ru-RU"/>
        </w:rPr>
      </w:pPr>
      <w:r>
        <w:rPr>
          <w:rFonts w:ascii="Times New Roman" w:hAnsi="Times New Roman" w:cs="Times New Roman"/>
          <w:sz w:val="24"/>
          <w:szCs w:val="24"/>
        </w:rPr>
        <w:t>Перелік необхідних технічних умов, яким повинна відповідати пропозиція Учасника</w:t>
      </w:r>
    </w:p>
    <w:p w:rsidR="00B655E7" w:rsidRDefault="00B655E7" w:rsidP="00B655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Відпуск Бензину автомобільний марки  А-95 та дизельного палива  повинен </w:t>
      </w:r>
      <w:proofErr w:type="spellStart"/>
      <w:r>
        <w:rPr>
          <w:rFonts w:ascii="Times New Roman" w:hAnsi="Times New Roman" w:cs="Times New Roman"/>
          <w:sz w:val="24"/>
          <w:szCs w:val="24"/>
        </w:rPr>
        <w:t>здійснюватись</w:t>
      </w:r>
      <w:proofErr w:type="spellEnd"/>
      <w:r>
        <w:rPr>
          <w:rFonts w:ascii="Times New Roman" w:hAnsi="Times New Roman" w:cs="Times New Roman"/>
          <w:sz w:val="24"/>
          <w:szCs w:val="24"/>
        </w:rPr>
        <w:t xml:space="preserve"> на автозаправній станції (надалі АЗС) Учасника,  по карткам/талонам. На кожну партію палива видаються картки/талони встановленого зразку з номіналом 10 л. за якими безпосередньо буде здійснюватися заправка автотранспорту Замовника.</w:t>
      </w:r>
    </w:p>
    <w:p w:rsidR="00B655E7" w:rsidRDefault="00B655E7" w:rsidP="00B655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Термін дії (використання)  картках/талонах необмежений до повного забору пального на автозаправних станціях від дати фактичної передачі їх Замовнику та діяти на всіх АЗС Учасника, з можливістю  отримання палива через АЗС, які розташовані в місті Берестечко Волинської обл.</w:t>
      </w:r>
    </w:p>
    <w:p w:rsidR="00B655E7" w:rsidRDefault="00B655E7" w:rsidP="00B655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При виявлені Замовником дефектів у картках/талонах, що може якимось чином вплинути на якість - Постачальник повинен замінити картки/талони в тому самому асортименті та кількості протягом п’яти робочих днів.</w:t>
      </w:r>
    </w:p>
    <w:p w:rsidR="00B655E7" w:rsidRDefault="00B655E7" w:rsidP="00B655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 Згідно з Регламентом та ДСТУ кожна партія пального, яку вводять в обіг або яка перебуває в обіг, повинна мати документ про якість (паспорт якості) пального, що містить визначений перелік обов’язкової інформації, зокрема, відомості про товарний знак підприємства – виробника, його назву та адресу, нормативні значення та фактичні результати випробувань, які підтверджують відповідність марки пального вимогам Регламенту (ДСТУ) тощо. Під час поставки талонів/карток Постачальник повинен надати завірені копії документів, що підтверджують якість та безпеку, а саме сертифікати якості/відповідності  та/або паспорті/посвідчення про якість, та/або інші документи на підтвердження якості та безпеки предмету закупівлі, які повинні відповідати вимогами  Державних стандартів України (ДСТУ), або технічним умовам (ТУ) за умови що технічні умови на зазначений товар мають показники не нижчі, ніж визначено в державних (національних (регіональних)) стандартах.</w:t>
      </w:r>
    </w:p>
    <w:p w:rsidR="00B655E7" w:rsidRDefault="00B655E7" w:rsidP="00B655E7">
      <w:pPr>
        <w:spacing w:after="0" w:line="360" w:lineRule="auto"/>
        <w:jc w:val="both"/>
        <w:rPr>
          <w:rFonts w:ascii="Times New Roman" w:hAnsi="Times New Roman" w:cs="Times New Roman"/>
          <w:sz w:val="24"/>
          <w:szCs w:val="24"/>
        </w:rPr>
      </w:pPr>
    </w:p>
    <w:p w:rsidR="00B655E7" w:rsidRDefault="00B655E7" w:rsidP="00B655E7">
      <w:pPr>
        <w:spacing w:after="0" w:line="360" w:lineRule="auto"/>
        <w:jc w:val="both"/>
        <w:rPr>
          <w:rFonts w:ascii="Times New Roman" w:hAnsi="Times New Roman" w:cs="Times New Roman"/>
          <w:sz w:val="24"/>
          <w:szCs w:val="24"/>
        </w:rPr>
      </w:pPr>
    </w:p>
    <w:p w:rsidR="00B655E7" w:rsidRDefault="00B655E7" w:rsidP="00B655E7">
      <w:pPr>
        <w:spacing w:after="0" w:line="360" w:lineRule="auto"/>
        <w:jc w:val="both"/>
        <w:rPr>
          <w:rFonts w:ascii="Times New Roman" w:hAnsi="Times New Roman" w:cs="Times New Roman"/>
          <w:sz w:val="24"/>
          <w:szCs w:val="24"/>
        </w:rPr>
      </w:pPr>
    </w:p>
    <w:p w:rsidR="00B655E7" w:rsidRDefault="00B655E7" w:rsidP="00B655E7">
      <w:pPr>
        <w:spacing w:after="0" w:line="360" w:lineRule="auto"/>
        <w:jc w:val="both"/>
        <w:rPr>
          <w:rFonts w:ascii="Times New Roman" w:hAnsi="Times New Roman" w:cs="Times New Roman"/>
          <w:sz w:val="24"/>
          <w:szCs w:val="24"/>
        </w:rPr>
      </w:pPr>
    </w:p>
    <w:p w:rsidR="00B655E7" w:rsidRDefault="00B655E7" w:rsidP="00B655E7">
      <w:pPr>
        <w:spacing w:after="0" w:line="360" w:lineRule="auto"/>
        <w:jc w:val="both"/>
        <w:rPr>
          <w:rFonts w:ascii="Times New Roman" w:hAnsi="Times New Roman" w:cs="Times New Roman"/>
          <w:sz w:val="24"/>
          <w:szCs w:val="24"/>
        </w:rPr>
      </w:pPr>
    </w:p>
    <w:p w:rsidR="00B655E7" w:rsidRDefault="00B655E7" w:rsidP="00B655E7">
      <w:pPr>
        <w:spacing w:after="0" w:line="360" w:lineRule="auto"/>
        <w:jc w:val="both"/>
        <w:rPr>
          <w:rFonts w:ascii="Times New Roman" w:hAnsi="Times New Roman" w:cs="Times New Roman"/>
          <w:sz w:val="24"/>
          <w:szCs w:val="24"/>
        </w:rPr>
      </w:pPr>
    </w:p>
    <w:p w:rsidR="00B655E7" w:rsidRDefault="00B655E7" w:rsidP="00B655E7">
      <w:pPr>
        <w:spacing w:after="0" w:line="360" w:lineRule="auto"/>
        <w:jc w:val="both"/>
        <w:rPr>
          <w:rFonts w:ascii="Times New Roman" w:hAnsi="Times New Roman" w:cs="Times New Roman"/>
          <w:sz w:val="24"/>
          <w:szCs w:val="24"/>
        </w:rPr>
      </w:pPr>
    </w:p>
    <w:p w:rsidR="00B655E7" w:rsidRDefault="00B655E7" w:rsidP="00B655E7">
      <w:pPr>
        <w:spacing w:after="0" w:line="360" w:lineRule="auto"/>
        <w:jc w:val="both"/>
        <w:rPr>
          <w:rFonts w:ascii="Times New Roman" w:hAnsi="Times New Roman" w:cs="Times New Roman"/>
          <w:sz w:val="24"/>
          <w:szCs w:val="24"/>
        </w:rPr>
      </w:pPr>
    </w:p>
    <w:p w:rsidR="00B655E7" w:rsidRDefault="00B655E7" w:rsidP="00B655E7">
      <w:pPr>
        <w:spacing w:after="0" w:line="360" w:lineRule="auto"/>
        <w:jc w:val="both"/>
        <w:rPr>
          <w:rFonts w:ascii="Times New Roman" w:hAnsi="Times New Roman" w:cs="Times New Roman"/>
          <w:sz w:val="24"/>
          <w:szCs w:val="24"/>
        </w:rPr>
      </w:pPr>
    </w:p>
    <w:p w:rsidR="00B655E7" w:rsidRDefault="00B655E7" w:rsidP="00B655E7">
      <w:pPr>
        <w:spacing w:after="0" w:line="360" w:lineRule="auto"/>
        <w:jc w:val="both"/>
        <w:rPr>
          <w:rFonts w:ascii="Times New Roman" w:hAnsi="Times New Roman" w:cs="Times New Roman"/>
          <w:sz w:val="24"/>
          <w:szCs w:val="24"/>
        </w:rPr>
      </w:pPr>
    </w:p>
    <w:p w:rsidR="00263696" w:rsidRDefault="00263696">
      <w:bookmarkStart w:id="0" w:name="_GoBack"/>
      <w:bookmarkEnd w:id="0"/>
    </w:p>
    <w:sectPr w:rsidR="002636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DF"/>
    <w:rsid w:val="00263696"/>
    <w:rsid w:val="009A63DF"/>
    <w:rsid w:val="00B655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12644-BD70-4FFF-AEDB-ABD9D559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5E7"/>
    <w:pPr>
      <w:suppressAutoHyphens/>
      <w:spacing w:after="200" w:line="276" w:lineRule="auto"/>
    </w:pPr>
    <w:rPr>
      <w:rFonts w:ascii="Calibri" w:eastAsia="SimSun" w:hAnsi="Calibri" w:cs="font29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5E7"/>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99"/>
    <w:rsid w:val="00B655E7"/>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1659</Words>
  <Characters>946</Characters>
  <Application>Microsoft Office Word</Application>
  <DocSecurity>0</DocSecurity>
  <Lines>7</Lines>
  <Paragraphs>5</Paragraphs>
  <ScaleCrop>false</ScaleCrop>
  <Company>SPecialiST RePack</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2022-07-06T07:59:00Z</dcterms:created>
  <dcterms:modified xsi:type="dcterms:W3CDTF">2022-07-06T07:59:00Z</dcterms:modified>
</cp:coreProperties>
</file>