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ТЕХНІЧНА СПЕЦИФІКАЦІЯ</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Назва предмету закупівлі</w:t>
      </w:r>
      <w:r w:rsidDel="00000000" w:rsidR="00000000" w:rsidRPr="00000000">
        <w:rPr>
          <w:rFonts w:ascii="Times New Roman" w:cs="Times New Roman" w:eastAsia="Times New Roman" w:hAnsi="Times New Roman"/>
          <w:b w:val="1"/>
          <w:sz w:val="24"/>
          <w:szCs w:val="24"/>
          <w:rtl w:val="0"/>
        </w:rPr>
        <w:t xml:space="preserve">: Бензин автомобільний</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Код за ДК 021:2015 предмету закупівлі: </w:t>
      </w:r>
      <w:r w:rsidDel="00000000" w:rsidR="00000000" w:rsidRPr="00000000">
        <w:rPr>
          <w:rFonts w:ascii="Times New Roman" w:cs="Times New Roman" w:eastAsia="Times New Roman" w:hAnsi="Times New Roman"/>
          <w:b w:val="1"/>
          <w:sz w:val="24"/>
          <w:szCs w:val="24"/>
          <w:rtl w:val="0"/>
        </w:rPr>
        <w:t xml:space="preserve">09130000-9 — Нафта і дистиляти</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НОМЕНКЛАТУРНІ ПОЗИЦІЇ:</w:t>
      </w:r>
      <w:r w:rsidDel="00000000" w:rsidR="00000000" w:rsidRPr="00000000">
        <w:rPr>
          <w:rtl w:val="0"/>
        </w:rPr>
      </w:r>
    </w:p>
    <w:tbl>
      <w:tblPr>
        <w:tblStyle w:val="Table1"/>
        <w:tblW w:w="10078.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21"/>
        <w:gridCol w:w="4052"/>
        <w:gridCol w:w="3040"/>
        <w:gridCol w:w="1305"/>
        <w:gridCol w:w="1260"/>
        <w:tblGridChange w:id="0">
          <w:tblGrid>
            <w:gridCol w:w="421"/>
            <w:gridCol w:w="4052"/>
            <w:gridCol w:w="3040"/>
            <w:gridCol w:w="1305"/>
            <w:gridCol w:w="1260"/>
          </w:tblGrid>
        </w:tblGridChange>
      </w:tblGrid>
      <w:tr>
        <w:trPr>
          <w:cantSplit w:val="0"/>
          <w:trHeight w:val="28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right="1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right="1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товару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240" w:lineRule="auto"/>
              <w:ind w:right="1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 за ДК 021:2015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товару</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ind w:right="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Одиниця виміру</w:t>
            </w:r>
          </w:p>
        </w:tc>
      </w:tr>
      <w:tr>
        <w:trPr>
          <w:cantSplit w:val="0"/>
          <w:trHeight w:val="76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83" w:right="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right="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Бензин автомобільний А-95-Євро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240" w:lineRule="auto"/>
              <w:ind w:right="1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09132100-4 — Неетильований бензин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2 000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ind w:right="5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літр</w:t>
            </w:r>
          </w:p>
        </w:tc>
      </w:tr>
    </w:tbl>
    <w:p w:rsidR="00000000" w:rsidDel="00000000" w:rsidP="00000000" w:rsidRDefault="00000000" w:rsidRPr="00000000" w14:paraId="0000000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ЗАМОВНИКА ДО ТОВАРУ: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9"/>
        </w:tabs>
        <w:spacing w:after="0" w:before="0" w:line="240" w:lineRule="auto"/>
        <w:ind w:left="0" w:right="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закупівлі повинен відповідати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Технічному регламенту щодо вимог до автомобільних бензинів, дизельного, суднового та котельного палива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(затвердженого постановою Кабінету Міністрів України від 01.08.2013 № 927) та/або ДСТУ 7687:2015 «Бензини автомобільні Євро. Технічні умови», ДСТУ 7688:2015 «Паливо дизельне Євро. Технічні умови» в частині бензину, дизельного палива. В частині газу скрапленого нафтового, предмет закупівлі повинен відповідати ДСТУ EN 589:2017 «Палива автомобільні. Газ нафтовий скраплений. Технічні вимоги та методи контролювання». </w:t>
        <w:br w:type="textWrapping"/>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Придбання палива буде здійснюватися на умовах </w:t>
      </w:r>
      <w:r w:rsidDel="00000000" w:rsidR="00000000" w:rsidRPr="00000000">
        <w:rPr>
          <w:rFonts w:ascii="Times New Roman" w:cs="Times New Roman" w:eastAsia="Times New Roman" w:hAnsi="Times New Roman"/>
          <w:b w:val="1"/>
          <w:sz w:val="24"/>
          <w:szCs w:val="24"/>
          <w:rtl w:val="0"/>
        </w:rPr>
        <w:t xml:space="preserve">отримання палива за талонами та/або паливними картками </w:t>
      </w:r>
      <w:r w:rsidDel="00000000" w:rsidR="00000000" w:rsidRPr="00000000">
        <w:rPr>
          <w:rFonts w:ascii="Times New Roman" w:cs="Times New Roman" w:eastAsia="Times New Roman" w:hAnsi="Times New Roman"/>
          <w:sz w:val="24"/>
          <w:szCs w:val="24"/>
          <w:rtl w:val="0"/>
        </w:rPr>
        <w:t xml:space="preserve">(номінал – «літри») на АЗС.</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застосування талонів, їх номінал має становити «10 літрів» та «20 літрів»</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дії талонів/паливних карток становить –  не менше 12 місяців з дати  активації талонів/ паливних карток.</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має підтвердити знаходження власної або партнерської АЗС:</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менше 1 (однієї) у межах міста Житомир</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надати перелік таких АЗС у складі тендерної пропозиції з зазначенням назви АЗС або бренду, та адрес їх розташування.</w:t>
      </w:r>
    </w:p>
    <w:p w:rsidR="00000000" w:rsidDel="00000000" w:rsidP="00000000" w:rsidRDefault="00000000" w:rsidRPr="00000000" w14:paraId="00000017">
      <w:pPr>
        <w:jc w:val="both"/>
        <w:rPr>
          <w:rFonts w:ascii="Times New Roman" w:cs="Times New Roman" w:eastAsia="Times New Roman" w:hAnsi="Times New Roman"/>
          <w:b w:val="0"/>
          <w:sz w:val="24"/>
          <w:szCs w:val="24"/>
        </w:rPr>
      </w:pPr>
      <w:r w:rsidDel="00000000" w:rsidR="00000000" w:rsidRPr="00000000">
        <w:rPr>
          <w:rtl w:val="0"/>
        </w:rPr>
      </w:r>
    </w:p>
    <w:tbl>
      <w:tblPr>
        <w:tblStyle w:val="Table2"/>
        <w:tblpPr w:leftFromText="180" w:rightFromText="180" w:topFromText="0" w:bottomFromText="0" w:vertAnchor="text" w:horzAnchor="text" w:tblpX="0" w:tblpY="75"/>
        <w:tblW w:w="10020.0" w:type="dxa"/>
        <w:jc w:val="left"/>
        <w:tblBorders>
          <w:insideH w:color="000000" w:space="0" w:sz="0" w:val="nil"/>
          <w:insideV w:color="000000" w:space="0" w:sz="0" w:val="nil"/>
        </w:tblBorders>
        <w:tblLayout w:type="fixed"/>
        <w:tblLook w:val="0400"/>
      </w:tblPr>
      <w:tblGrid>
        <w:gridCol w:w="3340"/>
        <w:gridCol w:w="3340"/>
        <w:gridCol w:w="3340"/>
        <w:tblGridChange w:id="0">
          <w:tblGrid>
            <w:gridCol w:w="3340"/>
            <w:gridCol w:w="3340"/>
            <w:gridCol w:w="3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hd w:fill="ffffff" w:val="clea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19">
            <w:pPr>
              <w:shd w:fill="ffffff" w:val="clear"/>
              <w:spacing w:line="276" w:lineRule="auto"/>
              <w:jc w:val="center"/>
              <w:rPr>
                <w:color w:val="000000"/>
              </w:rPr>
            </w:pPr>
            <w:r w:rsidDel="00000000" w:rsidR="00000000" w:rsidRPr="00000000">
              <w:rPr>
                <w:color w:val="000000"/>
                <w:sz w:val="20"/>
                <w:szCs w:val="20"/>
                <w:rtl w:val="0"/>
              </w:rPr>
              <w:t xml:space="preserve">_____________________________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hd w:fill="ffffff" w:val="clea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1B">
            <w:pPr>
              <w:shd w:fill="ffffff" w:val="clear"/>
              <w:spacing w:line="276" w:lineRule="auto"/>
              <w:jc w:val="center"/>
              <w:rPr>
                <w:color w:val="000000"/>
              </w:rPr>
            </w:pPr>
            <w:r w:rsidDel="00000000" w:rsidR="00000000" w:rsidRPr="00000000">
              <w:rPr>
                <w:color w:val="000000"/>
                <w:sz w:val="20"/>
                <w:szCs w:val="20"/>
                <w:rtl w:val="0"/>
              </w:rPr>
              <w:t xml:space="preserve">__________________________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hd w:fill="ffffff" w:val="clea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1D">
            <w:pPr>
              <w:shd w:fill="ffffff" w:val="clear"/>
              <w:spacing w:line="276" w:lineRule="auto"/>
              <w:jc w:val="center"/>
              <w:rPr>
                <w:color w:val="000000"/>
              </w:rPr>
            </w:pPr>
            <w:r w:rsidDel="00000000" w:rsidR="00000000" w:rsidRPr="00000000">
              <w:rPr>
                <w:color w:val="000000"/>
                <w:sz w:val="20"/>
                <w:szCs w:val="20"/>
                <w:rtl w:val="0"/>
              </w:rPr>
              <w:t xml:space="preserve">_________________________</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hd w:fill="ffffff" w:val="clear"/>
              <w:spacing w:line="276" w:lineRule="auto"/>
              <w:jc w:val="center"/>
              <w:rPr>
                <w:color w:val="000000"/>
              </w:rPr>
            </w:pPr>
            <w:r w:rsidDel="00000000" w:rsidR="00000000" w:rsidRPr="00000000">
              <w:rPr>
                <w:i w:val="1"/>
                <w:color w:val="000000"/>
                <w:sz w:val="16"/>
                <w:szCs w:val="16"/>
                <w:rtl w:val="0"/>
              </w:rPr>
              <w:t xml:space="preserve">посада уповноваженої особи Учасника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hd w:fill="ffffff" w:val="clear"/>
              <w:spacing w:line="276" w:lineRule="auto"/>
              <w:jc w:val="center"/>
              <w:rPr>
                <w:color w:val="000000"/>
              </w:rPr>
            </w:pPr>
            <w:r w:rsidDel="00000000" w:rsidR="00000000" w:rsidRPr="00000000">
              <w:rPr>
                <w:i w:val="1"/>
                <w:color w:val="000000"/>
                <w:sz w:val="16"/>
                <w:szCs w:val="16"/>
                <w:rtl w:val="0"/>
              </w:rPr>
              <w:t xml:space="preserve">підпис та печатка (за наявності)</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hd w:fill="ffffff" w:val="clear"/>
              <w:spacing w:line="276" w:lineRule="auto"/>
              <w:jc w:val="center"/>
              <w:rPr>
                <w:color w:val="000000"/>
              </w:rPr>
            </w:pPr>
            <w:r w:rsidDel="00000000" w:rsidR="00000000" w:rsidRPr="00000000">
              <w:rPr>
                <w:i w:val="1"/>
                <w:color w:val="000000"/>
                <w:sz w:val="16"/>
                <w:szCs w:val="16"/>
                <w:rtl w:val="0"/>
              </w:rPr>
              <w:t xml:space="preserve">прізвище, ініціали</w:t>
            </w:r>
            <w:r w:rsidDel="00000000" w:rsidR="00000000" w:rsidRPr="00000000">
              <w:rPr>
                <w:rtl w:val="0"/>
              </w:rPr>
            </w:r>
          </w:p>
        </w:tc>
      </w:tr>
    </w:tbl>
    <w:p w:rsidR="00000000" w:rsidDel="00000000" w:rsidP="00000000" w:rsidRDefault="00000000" w:rsidRPr="00000000" w14:paraId="00000021">
      <w:pPr>
        <w:shd w:fill="ffffff" w:val="clear"/>
        <w:jc w:val="both"/>
        <w:rPr>
          <w:i w:val="1"/>
          <w:sz w:val="18"/>
          <w:szCs w:val="18"/>
        </w:rPr>
      </w:pPr>
      <w:bookmarkStart w:colFirst="0" w:colLast="0" w:name="_heading=h.gjdgxs" w:id="0"/>
      <w:bookmarkEnd w:id="0"/>
      <w:r w:rsidDel="00000000" w:rsidR="00000000" w:rsidRPr="00000000">
        <w:rPr>
          <w:i w:val="1"/>
          <w:sz w:val="18"/>
          <w:szCs w:val="18"/>
          <w:rtl w:val="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Del="00000000" w:rsidR="00000000" w:rsidRPr="00000000">
        <w:rPr>
          <w:i w:val="1"/>
          <w:sz w:val="18"/>
          <w:szCs w:val="18"/>
          <w:u w:val="single"/>
          <w:rtl w:val="0"/>
        </w:rPr>
        <w:t xml:space="preserve">Після кожного такого посилання слід вважати наявний вираз «або еквівалент».</w:t>
      </w:r>
      <w:r w:rsidDel="00000000" w:rsidR="00000000" w:rsidRPr="00000000">
        <w:rPr>
          <w:i w:val="1"/>
          <w:sz w:val="18"/>
          <w:szCs w:val="18"/>
          <w:rtl w:val="0"/>
        </w:rPr>
        <w:t xml:space="preserve"> </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i w:val="1"/>
          <w:sz w:val="18"/>
          <w:szCs w:val="18"/>
          <w:rtl w:val="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Del="00000000" w:rsidR="00000000" w:rsidRPr="00000000">
        <w:rPr>
          <w:i w:val="1"/>
          <w:sz w:val="18"/>
          <w:szCs w:val="18"/>
          <w:u w:val="single"/>
          <w:rtl w:val="0"/>
        </w:rPr>
        <w:t xml:space="preserve">Після кожного такого посилання слід вважати наявний вираз «або еквівалент».</w:t>
      </w:r>
      <w:r w:rsidDel="00000000" w:rsidR="00000000" w:rsidRPr="00000000">
        <w:rPr>
          <w:rtl w:val="0"/>
        </w:rPr>
      </w:r>
    </w:p>
    <w:sectPr>
      <w:pgSz w:h="16838" w:w="11906" w:orient="portrait"/>
      <w:pgMar w:bottom="824" w:top="99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7B6553"/>
    <w:pPr>
      <w:spacing w:after="0" w:line="240" w:lineRule="auto"/>
    </w:pPr>
    <w:rPr>
      <w:rFonts w:ascii="Segoe UI" w:cs="Segoe UI" w:hAnsi="Segoe UI"/>
      <w:sz w:val="18"/>
      <w:szCs w:val="18"/>
    </w:rPr>
  </w:style>
  <w:style w:type="character" w:styleId="a4" w:customStyle="1">
    <w:name w:val="Текст выноски Знак"/>
    <w:basedOn w:val="a0"/>
    <w:link w:val="a3"/>
    <w:uiPriority w:val="99"/>
    <w:semiHidden w:val="1"/>
    <w:rsid w:val="007B6553"/>
    <w:rPr>
      <w:rFonts w:ascii="Segoe UI" w:cs="Segoe UI" w:hAnsi="Segoe UI"/>
      <w:sz w:val="18"/>
      <w:szCs w:val="18"/>
    </w:rPr>
  </w:style>
  <w:style w:type="paragraph" w:styleId="a5">
    <w:name w:val="List Paragraph"/>
    <w:aliases w:val="Elenco Normale,List Paragraph,Список уровня 2,название табл/рис,Chapter10"/>
    <w:basedOn w:val="a"/>
    <w:link w:val="a6"/>
    <w:uiPriority w:val="34"/>
    <w:qFormat w:val="1"/>
    <w:rsid w:val="00B83384"/>
    <w:pPr>
      <w:ind w:left="720"/>
      <w:contextualSpacing w:val="1"/>
    </w:pPr>
  </w:style>
  <w:style w:type="character" w:styleId="a7">
    <w:name w:val="Strong"/>
    <w:uiPriority w:val="22"/>
    <w:qFormat w:val="1"/>
    <w:rsid w:val="00717CDC"/>
    <w:rPr>
      <w:b w:val="1"/>
      <w:bCs w:val="1"/>
    </w:rPr>
  </w:style>
  <w:style w:type="character" w:styleId="a8">
    <w:name w:val="Hyperlink"/>
    <w:uiPriority w:val="99"/>
    <w:unhideWhenUsed w:val="1"/>
    <w:rsid w:val="00717CDC"/>
    <w:rPr>
      <w:color w:val="0000ff"/>
      <w:u w:val="single"/>
    </w:rPr>
  </w:style>
  <w:style w:type="character" w:styleId="a6" w:customStyle="1">
    <w:name w:val="Абзац списка Знак"/>
    <w:aliases w:val="Elenco Normale Знак,List Paragraph Знак,Список уровня 2 Знак,название табл/рис Знак,Chapter10 Знак"/>
    <w:link w:val="a5"/>
    <w:uiPriority w:val="34"/>
    <w:rsid w:val="00717CDC"/>
  </w:style>
  <w:style w:type="paragraph" w:styleId="a9">
    <w:name w:val="Normal (Web)"/>
    <w:basedOn w:val="a"/>
    <w:uiPriority w:val="99"/>
    <w:semiHidden w:val="1"/>
    <w:unhideWhenUsed w:val="1"/>
    <w:rsid w:val="00000064"/>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a">
    <w:name w:val="Emphasis"/>
    <w:basedOn w:val="a0"/>
    <w:uiPriority w:val="20"/>
    <w:qFormat w:val="1"/>
    <w:rsid w:val="00782EF3"/>
    <w:rPr>
      <w:i w:val="1"/>
      <w:iCs w:val="1"/>
    </w:rPr>
  </w:style>
  <w:style w:type="paragraph" w:styleId="TableParagraph" w:customStyle="1">
    <w:name w:val="Table Paragraph"/>
    <w:basedOn w:val="a"/>
    <w:rsid w:val="004E4C3C"/>
    <w:pPr>
      <w:widowControl w:val="0"/>
      <w:suppressAutoHyphens w:val="1"/>
      <w:autoSpaceDE w:val="0"/>
      <w:spacing w:after="0" w:line="240" w:lineRule="auto"/>
      <w:ind w:left="110"/>
    </w:pPr>
    <w:rPr>
      <w:rFonts w:ascii="Times New Roman" w:cs="Times New Roman" w:eastAsia="Calibri" w:hAnsi="Times New Roman"/>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927-2013-%D0%BF#Tex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amafxNFEA61sYXyJ4jPMNDwPA==">CgMxLjAyCGguZ2pkZ3hzOAByITFpSHFSUndBS2ZjSTVtQnBLRXMwSmhBWDVldlY0Mkt0WQ==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2024-01-30T13:32:00Z</dcterms:created>
  <dc:creator>user0989</dc:creator>
</cp:coreProperties>
</file>